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4020" w14:textId="3740AA4D" w:rsidR="00672EEA" w:rsidRDefault="000A08AC">
      <w:r>
        <w:rPr>
          <w:noProof/>
        </w:rPr>
        <w:drawing>
          <wp:inline distT="0" distB="0" distL="0" distR="0" wp14:anchorId="74ACDDBF" wp14:editId="55C6DD23">
            <wp:extent cx="5956300" cy="1087966"/>
            <wp:effectExtent l="0" t="0" r="6350" b="0"/>
            <wp:docPr id="1660435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36673" cy="1102647"/>
                    </a:xfrm>
                    <a:prstGeom prst="rect">
                      <a:avLst/>
                    </a:prstGeom>
                    <a:noFill/>
                    <a:ln>
                      <a:noFill/>
                    </a:ln>
                  </pic:spPr>
                </pic:pic>
              </a:graphicData>
            </a:graphic>
          </wp:inline>
        </w:drawing>
      </w:r>
    </w:p>
    <w:p w14:paraId="7197D12A" w14:textId="77777777" w:rsidR="00930876" w:rsidRDefault="00930876"/>
    <w:p w14:paraId="2D4BDA92" w14:textId="77777777" w:rsidR="00930876" w:rsidRPr="004918CA" w:rsidRDefault="00930876" w:rsidP="00930876">
      <w:pPr>
        <w:spacing w:before="100" w:beforeAutospacing="1" w:after="100" w:afterAutospacing="1" w:line="240" w:lineRule="auto"/>
        <w:jc w:val="center"/>
        <w:rPr>
          <w:rFonts w:ascii="Times New Roman" w:hAnsi="Times New Roman" w:cs="Times New Roman"/>
          <w:b/>
          <w:bCs/>
          <w:sz w:val="32"/>
          <w:szCs w:val="32"/>
        </w:rPr>
      </w:pPr>
      <w:r w:rsidRPr="004918CA">
        <w:rPr>
          <w:rFonts w:ascii="Times New Roman" w:hAnsi="Times New Roman" w:cs="Times New Roman"/>
          <w:b/>
          <w:bCs/>
          <w:sz w:val="32"/>
          <w:szCs w:val="32"/>
        </w:rPr>
        <w:t>Comments on the Draft Division of Air Pollution (DAP) Control Permit-to-Install and Operate</w:t>
      </w:r>
    </w:p>
    <w:p w14:paraId="520CD3ED" w14:textId="77777777" w:rsidR="00930876" w:rsidRPr="004918CA" w:rsidRDefault="00930876" w:rsidP="00930876">
      <w:pPr>
        <w:spacing w:before="100" w:beforeAutospacing="1" w:after="100" w:afterAutospacing="1" w:line="240" w:lineRule="auto"/>
        <w:jc w:val="center"/>
        <w:rPr>
          <w:rFonts w:ascii="Times New Roman" w:hAnsi="Times New Roman" w:cs="Times New Roman"/>
          <w:b/>
          <w:bCs/>
          <w:sz w:val="32"/>
          <w:szCs w:val="32"/>
        </w:rPr>
      </w:pPr>
      <w:r w:rsidRPr="004918CA">
        <w:rPr>
          <w:rFonts w:ascii="Times New Roman" w:hAnsi="Times New Roman" w:cs="Times New Roman"/>
          <w:b/>
          <w:bCs/>
          <w:sz w:val="32"/>
          <w:szCs w:val="32"/>
        </w:rPr>
        <w:t>for</w:t>
      </w:r>
    </w:p>
    <w:p w14:paraId="512B107A" w14:textId="77777777" w:rsidR="00930876" w:rsidRDefault="00930876" w:rsidP="00930876">
      <w:pPr>
        <w:spacing w:before="100" w:beforeAutospacing="1" w:after="100" w:afterAutospacing="1" w:line="240" w:lineRule="auto"/>
        <w:jc w:val="center"/>
        <w:rPr>
          <w:rFonts w:ascii="Times New Roman" w:hAnsi="Times New Roman" w:cs="Times New Roman"/>
          <w:b/>
          <w:bCs/>
          <w:sz w:val="32"/>
          <w:szCs w:val="32"/>
        </w:rPr>
      </w:pPr>
      <w:r w:rsidRPr="004918CA">
        <w:rPr>
          <w:rFonts w:ascii="Times New Roman" w:hAnsi="Times New Roman" w:cs="Times New Roman"/>
          <w:b/>
          <w:bCs/>
          <w:sz w:val="32"/>
          <w:szCs w:val="32"/>
        </w:rPr>
        <w:t>SOBE Thermal Energy Systems, LLC (Facility ID: 0250110024; Permit Number: P0132799)</w:t>
      </w:r>
    </w:p>
    <w:p w14:paraId="37E2CE40" w14:textId="4C85EAC2" w:rsidR="00930876" w:rsidRPr="00930876" w:rsidRDefault="00930876" w:rsidP="00930876">
      <w:pPr>
        <w:spacing w:before="100" w:beforeAutospacing="1" w:after="100" w:afterAutospacing="1" w:line="240" w:lineRule="auto"/>
        <w:jc w:val="center"/>
        <w:rPr>
          <w:rFonts w:ascii="Times New Roman" w:hAnsi="Times New Roman" w:cs="Times New Roman"/>
          <w:b/>
          <w:bCs/>
          <w:sz w:val="32"/>
          <w:szCs w:val="32"/>
        </w:rPr>
      </w:pPr>
      <w:r w:rsidRPr="00930876">
        <w:rPr>
          <w:rFonts w:ascii="Times New Roman" w:hAnsi="Times New Roman" w:cs="Times New Roman"/>
          <w:b/>
          <w:bCs/>
          <w:sz w:val="32"/>
          <w:szCs w:val="32"/>
        </w:rPr>
        <w:t>by</w:t>
      </w:r>
    </w:p>
    <w:p w14:paraId="2673DE1E" w14:textId="600A2268" w:rsidR="00930876" w:rsidRDefault="00930876" w:rsidP="00930876">
      <w:pPr>
        <w:spacing w:before="100" w:beforeAutospacing="1" w:after="100" w:afterAutospacing="1" w:line="240" w:lineRule="auto"/>
        <w:jc w:val="center"/>
        <w:rPr>
          <w:rFonts w:ascii="Times New Roman" w:hAnsi="Times New Roman" w:cs="Times New Roman"/>
          <w:b/>
          <w:bCs/>
          <w:sz w:val="32"/>
          <w:szCs w:val="32"/>
        </w:rPr>
      </w:pPr>
      <w:r w:rsidRPr="00930876">
        <w:rPr>
          <w:rFonts w:ascii="Times New Roman" w:hAnsi="Times New Roman" w:cs="Times New Roman"/>
          <w:b/>
          <w:bCs/>
          <w:sz w:val="32"/>
          <w:szCs w:val="32"/>
        </w:rPr>
        <w:t xml:space="preserve">Dr. Ranajit (Ron) Sahu, Consultant </w:t>
      </w:r>
    </w:p>
    <w:p w14:paraId="2698AEA7" w14:textId="50D250C7" w:rsidR="0094349C" w:rsidRDefault="0094349C" w:rsidP="00930876">
      <w:pPr>
        <w:spacing w:before="100" w:beforeAutospacing="1" w:after="100" w:afterAutospacing="1" w:line="240" w:lineRule="auto"/>
        <w:jc w:val="center"/>
        <w:rPr>
          <w:rFonts w:ascii="Times New Roman" w:hAnsi="Times New Roman" w:cs="Times New Roman"/>
          <w:b/>
          <w:bCs/>
          <w:sz w:val="32"/>
          <w:szCs w:val="32"/>
        </w:rPr>
      </w:pPr>
      <w:r>
        <w:rPr>
          <w:rFonts w:ascii="Times New Roman" w:hAnsi="Times New Roman" w:cs="Times New Roman"/>
          <w:b/>
          <w:bCs/>
          <w:sz w:val="32"/>
          <w:szCs w:val="32"/>
        </w:rPr>
        <w:t>These comments are submitted on behalf of the following Ohio organizations</w:t>
      </w:r>
    </w:p>
    <w:p w14:paraId="7C23E8F1" w14:textId="5EADAC93" w:rsidR="00930876" w:rsidRPr="0094349C" w:rsidRDefault="0094349C" w:rsidP="0094349C">
      <w:pPr>
        <w:spacing w:before="100" w:beforeAutospacing="1" w:after="100" w:afterAutospacing="1" w:line="240" w:lineRule="auto"/>
        <w:rPr>
          <w:rFonts w:ascii="Times New Roman" w:hAnsi="Times New Roman" w:cs="Times New Roman"/>
          <w:sz w:val="24"/>
          <w:szCs w:val="24"/>
        </w:rPr>
      </w:pPr>
      <w:r w:rsidRPr="0094349C">
        <w:rPr>
          <w:rFonts w:ascii="Times New Roman" w:hAnsi="Times New Roman" w:cs="Times New Roman"/>
          <w:i/>
          <w:iCs/>
          <w:sz w:val="24"/>
          <w:szCs w:val="24"/>
        </w:rPr>
        <w:t>Buckeye Environmental Network, SOBE Concerned Citizens, Ohio NAACP, Black Appalachian Coalition, Black Environmental</w:t>
      </w:r>
      <w:r w:rsidRPr="0094349C">
        <w:rPr>
          <w:rFonts w:ascii="Times New Roman" w:hAnsi="Times New Roman" w:cs="Times New Roman"/>
          <w:sz w:val="24"/>
          <w:szCs w:val="24"/>
        </w:rPr>
        <w:t xml:space="preserve"> Leaders, </w:t>
      </w:r>
      <w:r w:rsidRPr="0094349C">
        <w:rPr>
          <w:rFonts w:ascii="Times New Roman" w:hAnsi="Times New Roman" w:cs="Times New Roman"/>
          <w:i/>
          <w:iCs/>
          <w:sz w:val="24"/>
          <w:szCs w:val="24"/>
        </w:rPr>
        <w:t>Black Environmental Leaders Action Fund, People Over Petro Coalition, Between the Waters, Ashtabula County Water Watch, Ohio Brine Task Force, Coshocton Environmental and Community Awareness, Fresh Water Accountability Project, Radioactive Waste Alert, Citizen Pollution Watch, Athens County Future Action Network, Concerned Citizens of Lake Township, Sustainable Medina County, Network for Oil and Gas Accountability and Protection, Columbus Community Bill of Rights Coalition, Ohio Community Rights Network.</w:t>
      </w:r>
      <w:r w:rsidRPr="0094349C">
        <w:rPr>
          <w:rFonts w:ascii="Times New Roman" w:hAnsi="Times New Roman" w:cs="Times New Roman"/>
          <w:sz w:val="24"/>
          <w:szCs w:val="24"/>
        </w:rPr>
        <w:t xml:space="preserve"> </w:t>
      </w:r>
    </w:p>
    <w:p w14:paraId="08AC507A" w14:textId="31A5A3AE" w:rsidR="00930876" w:rsidRPr="004918CA" w:rsidRDefault="00930876" w:rsidP="00930876">
      <w:pPr>
        <w:spacing w:before="100" w:beforeAutospacing="1" w:after="100" w:afterAutospacing="1" w:line="240" w:lineRule="auto"/>
        <w:jc w:val="both"/>
        <w:rPr>
          <w:rFonts w:ascii="Times New Roman" w:hAnsi="Times New Roman" w:cs="Times New Roman"/>
          <w:sz w:val="24"/>
          <w:szCs w:val="24"/>
        </w:rPr>
      </w:pPr>
      <w:r w:rsidRPr="004918CA">
        <w:rPr>
          <w:rFonts w:ascii="Times New Roman" w:hAnsi="Times New Roman" w:cs="Times New Roman"/>
          <w:sz w:val="24"/>
          <w:szCs w:val="24"/>
        </w:rPr>
        <w:t xml:space="preserve">The proposed permit for this facility should not be granted as currently proposed because there are significant technical deficiencies, some of which are discussed in these comments. We ask that the </w:t>
      </w:r>
      <w:r>
        <w:rPr>
          <w:rFonts w:ascii="Times New Roman" w:hAnsi="Times New Roman" w:cs="Times New Roman"/>
          <w:sz w:val="24"/>
          <w:szCs w:val="24"/>
        </w:rPr>
        <w:t xml:space="preserve">Ohio Environmental Protection </w:t>
      </w:r>
      <w:r w:rsidRPr="004918CA">
        <w:rPr>
          <w:rFonts w:ascii="Times New Roman" w:hAnsi="Times New Roman" w:cs="Times New Roman"/>
          <w:sz w:val="24"/>
          <w:szCs w:val="24"/>
        </w:rPr>
        <w:t>DAP fully respond to and resolve these deficiencies and re-propose the draft permit for additional public comments before making a final decision.</w:t>
      </w:r>
    </w:p>
    <w:p w14:paraId="55981396" w14:textId="01B9CEAD" w:rsidR="00930876" w:rsidRPr="004918CA" w:rsidRDefault="00930876" w:rsidP="00930876">
      <w:pPr>
        <w:autoSpaceDE w:val="0"/>
        <w:autoSpaceDN w:val="0"/>
        <w:adjustRightInd w:val="0"/>
        <w:spacing w:before="100" w:beforeAutospacing="1" w:after="100" w:afterAutospacing="1" w:line="240" w:lineRule="auto"/>
        <w:ind w:right="65"/>
        <w:jc w:val="both"/>
        <w:rPr>
          <w:rFonts w:ascii="Times New Roman" w:hAnsi="Times New Roman" w:cs="Times New Roman"/>
          <w:kern w:val="0"/>
          <w:sz w:val="24"/>
          <w:szCs w:val="24"/>
        </w:rPr>
      </w:pPr>
      <w:r w:rsidRPr="004918CA">
        <w:rPr>
          <w:rFonts w:ascii="Times New Roman" w:hAnsi="Times New Roman" w:cs="Times New Roman"/>
          <w:sz w:val="24"/>
          <w:szCs w:val="24"/>
        </w:rPr>
        <w:t xml:space="preserve">By way of context, </w:t>
      </w:r>
      <w:r w:rsidRPr="004918CA">
        <w:rPr>
          <w:rFonts w:ascii="Times New Roman" w:hAnsi="Times New Roman" w:cs="Times New Roman"/>
          <w:kern w:val="0"/>
          <w:sz w:val="24"/>
          <w:szCs w:val="24"/>
        </w:rPr>
        <w:t>SOBE Thermal Energy Systems, LLC proposes to install a 13.72 MMBtu/</w:t>
      </w:r>
      <w:proofErr w:type="spellStart"/>
      <w:r w:rsidRPr="004918CA">
        <w:rPr>
          <w:rFonts w:ascii="Times New Roman" w:hAnsi="Times New Roman" w:cs="Times New Roman"/>
          <w:kern w:val="0"/>
          <w:sz w:val="24"/>
          <w:szCs w:val="24"/>
        </w:rPr>
        <w:t>hr</w:t>
      </w:r>
      <w:proofErr w:type="spellEnd"/>
      <w:r w:rsidRPr="004918CA">
        <w:rPr>
          <w:rFonts w:ascii="Times New Roman" w:hAnsi="Times New Roman" w:cs="Times New Roman"/>
          <w:kern w:val="0"/>
          <w:sz w:val="24"/>
          <w:szCs w:val="24"/>
        </w:rPr>
        <w:t xml:space="preserve"> Thermolyzer® (a type of pyrolysis unit (P001) that will extract syngas from tire derived chips (</w:t>
      </w:r>
      <w:proofErr w:type="gramStart"/>
      <w:r w:rsidRPr="004918CA">
        <w:rPr>
          <w:rFonts w:ascii="Times New Roman" w:hAnsi="Times New Roman" w:cs="Times New Roman"/>
          <w:kern w:val="0"/>
          <w:sz w:val="24"/>
          <w:szCs w:val="24"/>
        </w:rPr>
        <w:t>TDC)  to</w:t>
      </w:r>
      <w:proofErr w:type="gramEnd"/>
      <w:r w:rsidRPr="004918CA">
        <w:rPr>
          <w:rFonts w:ascii="Times New Roman" w:hAnsi="Times New Roman" w:cs="Times New Roman"/>
          <w:kern w:val="0"/>
          <w:sz w:val="24"/>
          <w:szCs w:val="24"/>
        </w:rPr>
        <w:t xml:space="preserve"> power existing natural gas boilers (B006 and B007). The boilers provide steam for various buildings in downtown Youngstown, and will burn the syngas along with natural gas. The pyrolysis unit is equipped with two gas cleaning units (GCU) and a 1.09 MMBtu/</w:t>
      </w:r>
      <w:proofErr w:type="spellStart"/>
      <w:r w:rsidRPr="004918CA">
        <w:rPr>
          <w:rFonts w:ascii="Times New Roman" w:hAnsi="Times New Roman" w:cs="Times New Roman"/>
          <w:kern w:val="0"/>
          <w:sz w:val="24"/>
          <w:szCs w:val="24"/>
        </w:rPr>
        <w:t>hr</w:t>
      </w:r>
      <w:proofErr w:type="spellEnd"/>
      <w:r w:rsidRPr="004918CA">
        <w:rPr>
          <w:rFonts w:ascii="Times New Roman" w:hAnsi="Times New Roman" w:cs="Times New Roman"/>
          <w:kern w:val="0"/>
          <w:sz w:val="24"/>
          <w:szCs w:val="24"/>
        </w:rPr>
        <w:t xml:space="preserve"> flare.  </w:t>
      </w:r>
    </w:p>
    <w:p w14:paraId="46345555" w14:textId="4CA64467" w:rsidR="00930876" w:rsidRDefault="00930876" w:rsidP="00930876">
      <w:pPr>
        <w:spacing w:before="100" w:beforeAutospacing="1" w:after="100" w:afterAutospacing="1" w:line="240" w:lineRule="auto"/>
        <w:jc w:val="both"/>
        <w:rPr>
          <w:rFonts w:ascii="Times New Roman" w:hAnsi="Times New Roman" w:cs="Times New Roman"/>
          <w:sz w:val="24"/>
          <w:szCs w:val="24"/>
        </w:rPr>
      </w:pPr>
      <w:r w:rsidRPr="004918CA">
        <w:rPr>
          <w:rFonts w:ascii="Times New Roman" w:hAnsi="Times New Roman" w:cs="Times New Roman"/>
          <w:b/>
          <w:bCs/>
          <w:sz w:val="24"/>
          <w:szCs w:val="24"/>
          <w:u w:val="single"/>
        </w:rPr>
        <w:t>Comment 1</w:t>
      </w:r>
      <w:r w:rsidRPr="004918CA">
        <w:rPr>
          <w:rFonts w:ascii="Times New Roman" w:hAnsi="Times New Roman" w:cs="Times New Roman"/>
          <w:sz w:val="24"/>
          <w:szCs w:val="24"/>
        </w:rPr>
        <w:t xml:space="preserve"> - We have relied on the documents provided in the record in developing these comments. As a starting matter, we note that critical technical documents relied upon by the applicant for developing the emissions from this facility are not available in the public record. We note these later. It is not clear to us how the agency could have conducted its technical review without having such documents.</w:t>
      </w:r>
    </w:p>
    <w:p w14:paraId="10F488EA" w14:textId="77777777" w:rsidR="0094349C" w:rsidRDefault="0094349C" w:rsidP="00930876">
      <w:pPr>
        <w:spacing w:before="100" w:beforeAutospacing="1" w:after="100" w:afterAutospacing="1" w:line="240" w:lineRule="auto"/>
        <w:jc w:val="both"/>
        <w:rPr>
          <w:rFonts w:ascii="Times New Roman" w:hAnsi="Times New Roman" w:cs="Times New Roman"/>
          <w:sz w:val="24"/>
          <w:szCs w:val="24"/>
        </w:rPr>
      </w:pPr>
    </w:p>
    <w:p w14:paraId="63F55756" w14:textId="77777777" w:rsidR="0094349C" w:rsidRPr="004918CA" w:rsidRDefault="0094349C" w:rsidP="00930876">
      <w:pPr>
        <w:spacing w:before="100" w:beforeAutospacing="1" w:after="100" w:afterAutospacing="1" w:line="240" w:lineRule="auto"/>
        <w:jc w:val="both"/>
        <w:rPr>
          <w:rFonts w:ascii="Times New Roman" w:hAnsi="Times New Roman" w:cs="Times New Roman"/>
          <w:sz w:val="24"/>
          <w:szCs w:val="24"/>
        </w:rPr>
      </w:pPr>
    </w:p>
    <w:p w14:paraId="60BA70AC" w14:textId="77777777" w:rsidR="00930876" w:rsidRPr="004918CA" w:rsidRDefault="00930876" w:rsidP="00930876">
      <w:pPr>
        <w:autoSpaceDE w:val="0"/>
        <w:autoSpaceDN w:val="0"/>
        <w:adjustRightInd w:val="0"/>
        <w:spacing w:before="100" w:beforeAutospacing="1" w:after="100" w:afterAutospacing="1" w:line="240" w:lineRule="auto"/>
        <w:ind w:right="65"/>
        <w:jc w:val="both"/>
        <w:rPr>
          <w:rFonts w:ascii="Times New Roman" w:hAnsi="Times New Roman" w:cs="Times New Roman"/>
          <w:kern w:val="0"/>
          <w:sz w:val="24"/>
          <w:szCs w:val="24"/>
        </w:rPr>
      </w:pPr>
      <w:r w:rsidRPr="004918CA">
        <w:rPr>
          <w:rFonts w:ascii="Times New Roman" w:hAnsi="Times New Roman" w:cs="Times New Roman"/>
          <w:b/>
          <w:bCs/>
          <w:kern w:val="0"/>
          <w:sz w:val="24"/>
          <w:szCs w:val="24"/>
          <w:u w:val="single"/>
        </w:rPr>
        <w:t>Comment 2</w:t>
      </w:r>
      <w:r w:rsidRPr="004918CA">
        <w:rPr>
          <w:rFonts w:ascii="Times New Roman" w:hAnsi="Times New Roman" w:cs="Times New Roman"/>
          <w:kern w:val="0"/>
          <w:sz w:val="24"/>
          <w:szCs w:val="24"/>
        </w:rPr>
        <w:t xml:space="preserve"> - The record describes the flare as being “enclosed” but there are no drawings or technical specifications that confirm any details about this enclosed flare.</w:t>
      </w:r>
    </w:p>
    <w:p w14:paraId="6B816BAB" w14:textId="77777777" w:rsidR="00930876" w:rsidRPr="004918CA" w:rsidRDefault="00930876" w:rsidP="00930876">
      <w:pPr>
        <w:autoSpaceDE w:val="0"/>
        <w:autoSpaceDN w:val="0"/>
        <w:adjustRightInd w:val="0"/>
        <w:spacing w:before="100" w:beforeAutospacing="1" w:after="100" w:afterAutospacing="1" w:line="240" w:lineRule="auto"/>
        <w:ind w:right="65"/>
        <w:jc w:val="both"/>
        <w:rPr>
          <w:rFonts w:ascii="Times New Roman" w:hAnsi="Times New Roman" w:cs="Times New Roman"/>
          <w:kern w:val="0"/>
          <w:sz w:val="24"/>
          <w:szCs w:val="24"/>
        </w:rPr>
      </w:pPr>
      <w:r w:rsidRPr="004918CA">
        <w:rPr>
          <w:rFonts w:ascii="Times New Roman" w:hAnsi="Times New Roman" w:cs="Times New Roman"/>
          <w:b/>
          <w:bCs/>
          <w:kern w:val="0"/>
          <w:sz w:val="24"/>
          <w:szCs w:val="24"/>
          <w:u w:val="single"/>
        </w:rPr>
        <w:t>Comment 3</w:t>
      </w:r>
      <w:r w:rsidRPr="004918CA">
        <w:rPr>
          <w:rFonts w:ascii="Times New Roman" w:hAnsi="Times New Roman" w:cs="Times New Roman"/>
          <w:kern w:val="0"/>
          <w:sz w:val="24"/>
          <w:szCs w:val="24"/>
        </w:rPr>
        <w:t xml:space="preserve"> - We also note that other documents in the record indicate different heat inputs for the Thermolyzer.  Therefore, the basis for the 13.72 MMBtu/</w:t>
      </w:r>
      <w:proofErr w:type="spellStart"/>
      <w:r w:rsidRPr="004918CA">
        <w:rPr>
          <w:rFonts w:ascii="Times New Roman" w:hAnsi="Times New Roman" w:cs="Times New Roman"/>
          <w:kern w:val="0"/>
          <w:sz w:val="24"/>
          <w:szCs w:val="24"/>
        </w:rPr>
        <w:t>hr</w:t>
      </w:r>
      <w:proofErr w:type="spellEnd"/>
      <w:r w:rsidRPr="004918CA">
        <w:rPr>
          <w:rFonts w:ascii="Times New Roman" w:hAnsi="Times New Roman" w:cs="Times New Roman"/>
          <w:kern w:val="0"/>
          <w:sz w:val="24"/>
          <w:szCs w:val="24"/>
        </w:rPr>
        <w:t xml:space="preserve"> Thermolyzer is not clear.</w:t>
      </w:r>
    </w:p>
    <w:p w14:paraId="61A88C5F" w14:textId="4256A11B" w:rsidR="000A08AC" w:rsidRPr="004918CA" w:rsidRDefault="00930876" w:rsidP="00930876">
      <w:pPr>
        <w:spacing w:before="100" w:beforeAutospacing="1" w:after="100" w:afterAutospacing="1" w:line="240" w:lineRule="auto"/>
        <w:jc w:val="both"/>
        <w:rPr>
          <w:rFonts w:ascii="Times New Roman" w:hAnsi="Times New Roman" w:cs="Times New Roman"/>
          <w:kern w:val="0"/>
          <w:sz w:val="24"/>
          <w:szCs w:val="24"/>
        </w:rPr>
      </w:pPr>
      <w:r w:rsidRPr="004918CA">
        <w:rPr>
          <w:rFonts w:ascii="Times New Roman" w:hAnsi="Times New Roman" w:cs="Times New Roman"/>
          <w:b/>
          <w:bCs/>
          <w:kern w:val="0"/>
          <w:sz w:val="24"/>
          <w:szCs w:val="24"/>
          <w:u w:val="single"/>
        </w:rPr>
        <w:t>Comment 4</w:t>
      </w:r>
      <w:r w:rsidRPr="004918CA">
        <w:rPr>
          <w:rFonts w:ascii="Times New Roman" w:hAnsi="Times New Roman" w:cs="Times New Roman"/>
          <w:kern w:val="0"/>
          <w:sz w:val="24"/>
          <w:szCs w:val="24"/>
        </w:rPr>
        <w:t xml:space="preserve"> – The emissions estimates provided for the facility are simply unsupported or very poorly supported.  </w:t>
      </w:r>
    </w:p>
    <w:p w14:paraId="7DFBDF35" w14:textId="3B9EDB92" w:rsidR="00930876" w:rsidRPr="004918CA" w:rsidRDefault="00930876" w:rsidP="00930876">
      <w:pPr>
        <w:spacing w:before="100" w:beforeAutospacing="1" w:after="100" w:afterAutospacing="1" w:line="240" w:lineRule="auto"/>
        <w:jc w:val="both"/>
        <w:rPr>
          <w:rFonts w:ascii="Times New Roman" w:hAnsi="Times New Roman" w:cs="Times New Roman"/>
          <w:color w:val="070707"/>
          <w:kern w:val="0"/>
          <w:sz w:val="24"/>
          <w:szCs w:val="24"/>
        </w:rPr>
      </w:pPr>
      <w:r w:rsidRPr="004918CA">
        <w:rPr>
          <w:rFonts w:ascii="Times New Roman" w:hAnsi="Times New Roman" w:cs="Times New Roman"/>
          <w:color w:val="070707"/>
          <w:kern w:val="0"/>
          <w:sz w:val="24"/>
          <w:szCs w:val="24"/>
        </w:rPr>
        <w:t xml:space="preserve">A memorandum from Optics Consulting dated September 12, 2022 states that the technology to be used “…gasifies tires through a modified pyrolysis process.”  However, what “modified pyrolysis” </w:t>
      </w:r>
      <w:r>
        <w:rPr>
          <w:rFonts w:ascii="Times New Roman" w:hAnsi="Times New Roman" w:cs="Times New Roman"/>
          <w:color w:val="070707"/>
          <w:kern w:val="0"/>
          <w:sz w:val="24"/>
          <w:szCs w:val="24"/>
        </w:rPr>
        <w:t>means</w:t>
      </w:r>
      <w:r w:rsidRPr="004918CA">
        <w:rPr>
          <w:rFonts w:ascii="Times New Roman" w:hAnsi="Times New Roman" w:cs="Times New Roman"/>
          <w:color w:val="070707"/>
          <w:kern w:val="0"/>
          <w:sz w:val="24"/>
          <w:szCs w:val="24"/>
        </w:rPr>
        <w:t xml:space="preserve"> is never discussed or defined.</w:t>
      </w:r>
    </w:p>
    <w:p w14:paraId="49B1C32F" w14:textId="1A1DF07B" w:rsidR="00930876" w:rsidRPr="000A08AC" w:rsidRDefault="00930876" w:rsidP="000A08AC">
      <w:pPr>
        <w:spacing w:before="100" w:beforeAutospacing="1" w:after="100" w:afterAutospacing="1" w:line="240" w:lineRule="auto"/>
        <w:jc w:val="both"/>
        <w:rPr>
          <w:rFonts w:ascii="Times New Roman" w:hAnsi="Times New Roman" w:cs="Times New Roman"/>
          <w:sz w:val="24"/>
          <w:szCs w:val="24"/>
        </w:rPr>
      </w:pPr>
      <w:r w:rsidRPr="004918CA">
        <w:rPr>
          <w:rFonts w:ascii="Times New Roman" w:hAnsi="Times New Roman" w:cs="Times New Roman"/>
          <w:color w:val="070707"/>
          <w:kern w:val="0"/>
          <w:sz w:val="24"/>
          <w:szCs w:val="24"/>
        </w:rPr>
        <w:t xml:space="preserve">Further, this memo makes the following completely unsupported statement: “[T]he </w:t>
      </w:r>
      <w:proofErr w:type="gramStart"/>
      <w:r w:rsidRPr="004918CA">
        <w:rPr>
          <w:rFonts w:ascii="Times New Roman" w:hAnsi="Times New Roman" w:cs="Times New Roman"/>
          <w:color w:val="070707"/>
          <w:kern w:val="0"/>
          <w:sz w:val="24"/>
          <w:szCs w:val="24"/>
        </w:rPr>
        <w:t>process</w:t>
      </w:r>
      <w:proofErr w:type="gramEnd"/>
      <w:r w:rsidRPr="004918CA">
        <w:rPr>
          <w:rFonts w:ascii="Times New Roman" w:hAnsi="Times New Roman" w:cs="Times New Roman"/>
          <w:color w:val="070707"/>
          <w:kern w:val="0"/>
          <w:sz w:val="24"/>
          <w:szCs w:val="24"/>
        </w:rPr>
        <w:t xml:space="preserve"> produces a clean gas that does not produce any hazardous air pollutants as classified        by the U.S. EPA.”  The memo provides the following gas composition table.</w:t>
      </w:r>
    </w:p>
    <w:p w14:paraId="4399BAA4" w14:textId="77777777" w:rsidR="00930876" w:rsidRPr="004918CA" w:rsidRDefault="00930876" w:rsidP="00930876">
      <w:pPr>
        <w:spacing w:before="100" w:beforeAutospacing="1" w:after="100" w:afterAutospacing="1" w:line="240" w:lineRule="auto"/>
        <w:jc w:val="center"/>
        <w:rPr>
          <w:rFonts w:ascii="Times New Roman" w:hAnsi="Times New Roman" w:cs="Times New Roman"/>
          <w:sz w:val="24"/>
          <w:szCs w:val="24"/>
        </w:rPr>
      </w:pPr>
      <w:r w:rsidRPr="004918CA">
        <w:rPr>
          <w:rFonts w:ascii="Times New Roman" w:hAnsi="Times New Roman" w:cs="Times New Roman"/>
          <w:noProof/>
          <w:sz w:val="24"/>
          <w:szCs w:val="24"/>
        </w:rPr>
        <w:drawing>
          <wp:inline distT="0" distB="0" distL="0" distR="0" wp14:anchorId="1AEFA182" wp14:editId="7613B31E">
            <wp:extent cx="3633245" cy="1882140"/>
            <wp:effectExtent l="0" t="0" r="5715" b="3810"/>
            <wp:docPr id="1795123630" name="Picture 179512363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63473" name="Picture 1" descr="A screenshot of a computer&#10;&#10;Description automatically generated"/>
                    <pic:cNvPicPr/>
                  </pic:nvPicPr>
                  <pic:blipFill>
                    <a:blip r:embed="rId5"/>
                    <a:stretch>
                      <a:fillRect/>
                    </a:stretch>
                  </pic:blipFill>
                  <pic:spPr>
                    <a:xfrm>
                      <a:off x="0" y="0"/>
                      <a:ext cx="3636674" cy="1883917"/>
                    </a:xfrm>
                    <a:prstGeom prst="rect">
                      <a:avLst/>
                    </a:prstGeom>
                  </pic:spPr>
                </pic:pic>
              </a:graphicData>
            </a:graphic>
          </wp:inline>
        </w:drawing>
      </w:r>
    </w:p>
    <w:p w14:paraId="7B99F3E0" w14:textId="5459C2F9" w:rsidR="00930876" w:rsidRPr="004918CA" w:rsidRDefault="00930876" w:rsidP="00930876">
      <w:pPr>
        <w:spacing w:before="100" w:beforeAutospacing="1" w:after="100" w:afterAutospacing="1" w:line="240" w:lineRule="auto"/>
        <w:jc w:val="both"/>
        <w:rPr>
          <w:rFonts w:ascii="Times New Roman" w:hAnsi="Times New Roman" w:cs="Times New Roman"/>
          <w:sz w:val="24"/>
          <w:szCs w:val="24"/>
        </w:rPr>
      </w:pPr>
      <w:r w:rsidRPr="004918CA">
        <w:rPr>
          <w:rFonts w:ascii="Times New Roman" w:hAnsi="Times New Roman" w:cs="Times New Roman"/>
          <w:sz w:val="24"/>
          <w:szCs w:val="24"/>
        </w:rPr>
        <w:t>We note that pollutant concentrations are often in the ppm or tens/hundreds of ppm and these are often significant given the toxicity of most air toxic compounds. The composition table does not analyze the presence of gases at these concentrations. Therefore, it is premature to conclude that no air toxics are present.</w:t>
      </w:r>
    </w:p>
    <w:p w14:paraId="5C2DD175" w14:textId="1299A44D" w:rsidR="00930876" w:rsidRPr="004918CA" w:rsidRDefault="00930876" w:rsidP="00930876">
      <w:pPr>
        <w:spacing w:before="100" w:beforeAutospacing="1" w:after="100" w:afterAutospacing="1" w:line="240" w:lineRule="auto"/>
        <w:jc w:val="both"/>
        <w:rPr>
          <w:rFonts w:ascii="Times New Roman" w:hAnsi="Times New Roman" w:cs="Times New Roman"/>
          <w:sz w:val="24"/>
          <w:szCs w:val="24"/>
        </w:rPr>
      </w:pPr>
      <w:r w:rsidRPr="004918CA">
        <w:rPr>
          <w:rFonts w:ascii="Times New Roman" w:hAnsi="Times New Roman" w:cs="Times New Roman"/>
          <w:sz w:val="24"/>
          <w:szCs w:val="24"/>
        </w:rPr>
        <w:t>Even if it were the case that no air toxics are present in the syn gas from the Thermolyzer, combusting this gas in the boilers or the flare will produce a range of products of incomplete combustion, that, unavoidably contain numerous air toxics. Thus, whether or not air toxics are present in the syn gas, they will be emitted to the atmosphere.</w:t>
      </w:r>
    </w:p>
    <w:p w14:paraId="64C963B9" w14:textId="77777777" w:rsidR="00930876" w:rsidRPr="004918CA" w:rsidRDefault="00930876" w:rsidP="00930876">
      <w:pPr>
        <w:spacing w:before="100" w:beforeAutospacing="1" w:after="100" w:afterAutospacing="1" w:line="240" w:lineRule="auto"/>
        <w:jc w:val="both"/>
        <w:rPr>
          <w:rFonts w:ascii="Times New Roman" w:hAnsi="Times New Roman" w:cs="Times New Roman"/>
          <w:kern w:val="0"/>
          <w:sz w:val="24"/>
          <w:szCs w:val="24"/>
        </w:rPr>
      </w:pPr>
      <w:r w:rsidRPr="004918CA">
        <w:rPr>
          <w:rFonts w:ascii="Times New Roman" w:hAnsi="Times New Roman" w:cs="Times New Roman"/>
          <w:kern w:val="0"/>
          <w:sz w:val="24"/>
          <w:szCs w:val="24"/>
        </w:rPr>
        <w:t>We have carefully reviewed the emissions spreadsheet (</w:t>
      </w:r>
      <w:r w:rsidRPr="004918CA">
        <w:rPr>
          <w:rFonts w:ascii="Times New Roman" w:hAnsi="Times New Roman" w:cs="Times New Roman"/>
          <w:sz w:val="24"/>
          <w:szCs w:val="24"/>
        </w:rPr>
        <w:t xml:space="preserve">“SOBE Potential Emissions Spreadsheet”) </w:t>
      </w:r>
      <w:r w:rsidRPr="004918CA">
        <w:rPr>
          <w:rFonts w:ascii="Times New Roman" w:hAnsi="Times New Roman" w:cs="Times New Roman"/>
          <w:kern w:val="0"/>
          <w:sz w:val="24"/>
          <w:szCs w:val="24"/>
        </w:rPr>
        <w:t>for the facility and note the following:</w:t>
      </w:r>
    </w:p>
    <w:p w14:paraId="1D039177" w14:textId="77777777" w:rsidR="00930876" w:rsidRPr="004918CA" w:rsidRDefault="00930876" w:rsidP="00930876">
      <w:pPr>
        <w:spacing w:before="100" w:beforeAutospacing="1" w:after="100" w:afterAutospacing="1" w:line="240" w:lineRule="auto"/>
        <w:jc w:val="both"/>
        <w:rPr>
          <w:rFonts w:ascii="Times New Roman" w:hAnsi="Times New Roman" w:cs="Times New Roman"/>
          <w:b/>
          <w:bCs/>
          <w:i/>
          <w:iCs/>
          <w:sz w:val="24"/>
          <w:szCs w:val="24"/>
        </w:rPr>
      </w:pPr>
      <w:r w:rsidRPr="004918CA">
        <w:rPr>
          <w:rFonts w:ascii="Times New Roman" w:hAnsi="Times New Roman" w:cs="Times New Roman"/>
          <w:b/>
          <w:bCs/>
          <w:i/>
          <w:iCs/>
          <w:sz w:val="24"/>
          <w:szCs w:val="24"/>
        </w:rPr>
        <w:t>4A - Thermolyzer</w:t>
      </w:r>
    </w:p>
    <w:p w14:paraId="2CF0533B" w14:textId="77777777" w:rsidR="00930876" w:rsidRDefault="00930876" w:rsidP="00930876">
      <w:pPr>
        <w:spacing w:before="100" w:beforeAutospacing="1" w:after="100" w:afterAutospacing="1" w:line="240" w:lineRule="auto"/>
        <w:jc w:val="both"/>
        <w:rPr>
          <w:rFonts w:ascii="Times New Roman" w:hAnsi="Times New Roman" w:cs="Times New Roman"/>
          <w:sz w:val="24"/>
          <w:szCs w:val="24"/>
        </w:rPr>
      </w:pPr>
      <w:r w:rsidRPr="004918CA">
        <w:rPr>
          <w:rFonts w:ascii="Times New Roman" w:hAnsi="Times New Roman" w:cs="Times New Roman"/>
          <w:sz w:val="24"/>
          <w:szCs w:val="24"/>
        </w:rPr>
        <w:t>In the Tab: Thermolyzer in the emissions spreadsheet, the following emission factors are provided.</w:t>
      </w:r>
    </w:p>
    <w:p w14:paraId="09A48EE8" w14:textId="77777777" w:rsidR="0094349C" w:rsidRDefault="0094349C" w:rsidP="00930876">
      <w:pPr>
        <w:spacing w:before="100" w:beforeAutospacing="1" w:after="100" w:afterAutospacing="1" w:line="240" w:lineRule="auto"/>
        <w:jc w:val="both"/>
        <w:rPr>
          <w:rFonts w:ascii="Times New Roman" w:hAnsi="Times New Roman" w:cs="Times New Roman"/>
          <w:sz w:val="24"/>
          <w:szCs w:val="24"/>
        </w:rPr>
      </w:pPr>
    </w:p>
    <w:p w14:paraId="072FE7C2" w14:textId="77777777" w:rsidR="0094349C" w:rsidRDefault="0094349C" w:rsidP="00930876">
      <w:pPr>
        <w:spacing w:before="100" w:beforeAutospacing="1" w:after="100" w:afterAutospacing="1" w:line="240" w:lineRule="auto"/>
        <w:jc w:val="both"/>
        <w:rPr>
          <w:rFonts w:ascii="Times New Roman" w:hAnsi="Times New Roman" w:cs="Times New Roman"/>
          <w:sz w:val="24"/>
          <w:szCs w:val="24"/>
        </w:rPr>
      </w:pPr>
    </w:p>
    <w:p w14:paraId="471DBD6B" w14:textId="77777777" w:rsidR="0094349C" w:rsidRPr="004918CA" w:rsidRDefault="0094349C" w:rsidP="00930876">
      <w:pPr>
        <w:spacing w:before="100" w:beforeAutospacing="1" w:after="100" w:afterAutospacing="1" w:line="240" w:lineRule="auto"/>
        <w:jc w:val="both"/>
        <w:rPr>
          <w:rFonts w:ascii="Times New Roman" w:hAnsi="Times New Roman" w:cs="Times New Roman"/>
          <w:sz w:val="24"/>
          <w:szCs w:val="24"/>
        </w:rPr>
      </w:pPr>
    </w:p>
    <w:p w14:paraId="390EF735" w14:textId="5AF892E7" w:rsidR="000A08AC" w:rsidRPr="004918CA" w:rsidRDefault="00930876" w:rsidP="0094349C">
      <w:pPr>
        <w:spacing w:before="100" w:beforeAutospacing="1" w:after="100" w:afterAutospacing="1" w:line="240" w:lineRule="auto"/>
        <w:jc w:val="center"/>
        <w:rPr>
          <w:rFonts w:ascii="Times New Roman" w:hAnsi="Times New Roman" w:cs="Times New Roman"/>
          <w:sz w:val="24"/>
          <w:szCs w:val="24"/>
        </w:rPr>
      </w:pPr>
      <w:r w:rsidRPr="004918CA">
        <w:rPr>
          <w:rFonts w:ascii="Times New Roman" w:hAnsi="Times New Roman" w:cs="Times New Roman"/>
          <w:noProof/>
          <w:sz w:val="24"/>
          <w:szCs w:val="24"/>
        </w:rPr>
        <w:drawing>
          <wp:inline distT="0" distB="0" distL="0" distR="0" wp14:anchorId="6CCB7D42" wp14:editId="55913474">
            <wp:extent cx="3413760" cy="1684020"/>
            <wp:effectExtent l="0" t="0" r="0" b="0"/>
            <wp:docPr id="8884365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3760" cy="1684020"/>
                    </a:xfrm>
                    <a:prstGeom prst="rect">
                      <a:avLst/>
                    </a:prstGeom>
                    <a:noFill/>
                    <a:ln>
                      <a:noFill/>
                    </a:ln>
                  </pic:spPr>
                </pic:pic>
              </a:graphicData>
            </a:graphic>
          </wp:inline>
        </w:drawing>
      </w:r>
    </w:p>
    <w:p w14:paraId="34762007" w14:textId="6F76A88B" w:rsidR="00930876" w:rsidRPr="004918CA" w:rsidRDefault="00930876" w:rsidP="00930876">
      <w:pPr>
        <w:spacing w:before="100" w:beforeAutospacing="1" w:after="100" w:afterAutospacing="1" w:line="240" w:lineRule="auto"/>
        <w:jc w:val="both"/>
        <w:rPr>
          <w:rFonts w:ascii="Times New Roman" w:hAnsi="Times New Roman" w:cs="Times New Roman"/>
          <w:sz w:val="24"/>
          <w:szCs w:val="24"/>
        </w:rPr>
      </w:pPr>
      <w:r w:rsidRPr="004918CA">
        <w:rPr>
          <w:rFonts w:ascii="Times New Roman" w:hAnsi="Times New Roman" w:cs="Times New Roman"/>
          <w:sz w:val="24"/>
          <w:szCs w:val="24"/>
        </w:rPr>
        <w:t>The Optics Consulting memo states that these emission factors were developed by TRC Environmental Corporation. We have carefully reviewed the TRC report dated October 2020. We do not find the support for these emission factors in that report.</w:t>
      </w:r>
    </w:p>
    <w:p w14:paraId="32B771DA" w14:textId="705E04BE" w:rsidR="00930876" w:rsidRPr="004918CA" w:rsidRDefault="00930876" w:rsidP="00930876">
      <w:pPr>
        <w:spacing w:before="100" w:beforeAutospacing="1" w:after="100" w:afterAutospacing="1" w:line="240" w:lineRule="auto"/>
        <w:jc w:val="both"/>
        <w:rPr>
          <w:rFonts w:ascii="Times New Roman" w:hAnsi="Times New Roman" w:cs="Times New Roman"/>
          <w:kern w:val="0"/>
          <w:sz w:val="24"/>
          <w:szCs w:val="24"/>
        </w:rPr>
      </w:pPr>
      <w:r w:rsidRPr="004918CA">
        <w:rPr>
          <w:rFonts w:ascii="Times New Roman" w:hAnsi="Times New Roman" w:cs="Times New Roman"/>
          <w:sz w:val="24"/>
          <w:szCs w:val="24"/>
          <w:u w:val="single"/>
        </w:rPr>
        <w:t>First,</w:t>
      </w:r>
      <w:r w:rsidRPr="004918CA">
        <w:rPr>
          <w:rFonts w:ascii="Times New Roman" w:hAnsi="Times New Roman" w:cs="Times New Roman"/>
          <w:sz w:val="24"/>
          <w:szCs w:val="24"/>
        </w:rPr>
        <w:t xml:space="preserve"> we note that the TRC report contemplates a phased project, and states that “[</w:t>
      </w:r>
      <w:r w:rsidRPr="004918CA">
        <w:rPr>
          <w:rFonts w:ascii="Times New Roman" w:hAnsi="Times New Roman" w:cs="Times New Roman"/>
          <w:kern w:val="0"/>
          <w:sz w:val="24"/>
          <w:szCs w:val="24"/>
        </w:rPr>
        <w:t xml:space="preserve">I]n Phase 2, two additional </w:t>
      </w:r>
      <w:proofErr w:type="spellStart"/>
      <w:r w:rsidRPr="004918CA">
        <w:rPr>
          <w:rFonts w:ascii="Times New Roman" w:hAnsi="Times New Roman" w:cs="Times New Roman"/>
          <w:kern w:val="0"/>
          <w:sz w:val="24"/>
          <w:szCs w:val="24"/>
        </w:rPr>
        <w:t>Thermolyzers</w:t>
      </w:r>
      <w:proofErr w:type="spellEnd"/>
      <w:r w:rsidRPr="004918CA">
        <w:rPr>
          <w:rFonts w:ascii="Times New Roman" w:hAnsi="Times New Roman" w:cs="Times New Roman"/>
          <w:kern w:val="0"/>
          <w:sz w:val="24"/>
          <w:szCs w:val="24"/>
        </w:rPr>
        <w:t xml:space="preserve"> will be installed.”  It is not clear therefore if this draft permit is just for the initial phase of this project, with a later phase yet to come. If so, this phasing raises significant concerns. All phases of the project should be analyzed and permitted.</w:t>
      </w:r>
    </w:p>
    <w:p w14:paraId="429792B5" w14:textId="3DCDD3D1" w:rsidR="00930876" w:rsidRPr="004918CA" w:rsidRDefault="00930876" w:rsidP="00930876">
      <w:pPr>
        <w:spacing w:before="100" w:beforeAutospacing="1" w:after="100" w:afterAutospacing="1" w:line="240" w:lineRule="auto"/>
        <w:jc w:val="both"/>
        <w:rPr>
          <w:rFonts w:ascii="Times New Roman" w:hAnsi="Times New Roman" w:cs="Times New Roman"/>
          <w:kern w:val="0"/>
          <w:sz w:val="24"/>
          <w:szCs w:val="24"/>
        </w:rPr>
      </w:pPr>
      <w:r w:rsidRPr="004918CA">
        <w:rPr>
          <w:rFonts w:ascii="Times New Roman" w:hAnsi="Times New Roman" w:cs="Times New Roman"/>
          <w:kern w:val="0"/>
          <w:sz w:val="24"/>
          <w:szCs w:val="24"/>
          <w:u w:val="single"/>
        </w:rPr>
        <w:t>Second,</w:t>
      </w:r>
      <w:r w:rsidRPr="004918CA">
        <w:rPr>
          <w:rFonts w:ascii="Times New Roman" w:hAnsi="Times New Roman" w:cs="Times New Roman"/>
          <w:kern w:val="0"/>
          <w:sz w:val="24"/>
          <w:szCs w:val="24"/>
        </w:rPr>
        <w:t xml:space="preserve"> the TRC report states that “[E]ach Thermolyzer’s rated heat input will be 62.2 </w:t>
      </w:r>
      <w:proofErr w:type="spellStart"/>
      <w:r w:rsidRPr="004918CA">
        <w:rPr>
          <w:rFonts w:ascii="Times New Roman" w:hAnsi="Times New Roman" w:cs="Times New Roman"/>
          <w:kern w:val="0"/>
          <w:sz w:val="24"/>
          <w:szCs w:val="24"/>
        </w:rPr>
        <w:t>mmBtu</w:t>
      </w:r>
      <w:proofErr w:type="spellEnd"/>
      <w:r w:rsidRPr="004918CA">
        <w:rPr>
          <w:rFonts w:ascii="Times New Roman" w:hAnsi="Times New Roman" w:cs="Times New Roman"/>
          <w:kern w:val="0"/>
          <w:sz w:val="24"/>
          <w:szCs w:val="24"/>
        </w:rPr>
        <w:t>/hr.”  This is significantly greater than the 13.72 MMBtu/</w:t>
      </w:r>
      <w:proofErr w:type="spellStart"/>
      <w:r w:rsidRPr="004918CA">
        <w:rPr>
          <w:rFonts w:ascii="Times New Roman" w:hAnsi="Times New Roman" w:cs="Times New Roman"/>
          <w:kern w:val="0"/>
          <w:sz w:val="24"/>
          <w:szCs w:val="24"/>
        </w:rPr>
        <w:t>hr</w:t>
      </w:r>
      <w:proofErr w:type="spellEnd"/>
      <w:r w:rsidRPr="004918CA">
        <w:rPr>
          <w:rFonts w:ascii="Times New Roman" w:hAnsi="Times New Roman" w:cs="Times New Roman"/>
          <w:kern w:val="0"/>
          <w:sz w:val="24"/>
          <w:szCs w:val="24"/>
        </w:rPr>
        <w:t xml:space="preserve"> size noted in the draft permit. It is not clear therefore if the TRC report addresses the same Thermolyzer as the one proposed in the permit. Until this size difference is explained, relying on the TRC report, as the Optics Consulting memo does, does not make any sense.</w:t>
      </w:r>
    </w:p>
    <w:p w14:paraId="4BE413C7" w14:textId="77777777" w:rsidR="00930876" w:rsidRPr="004918CA" w:rsidRDefault="00930876" w:rsidP="00930876">
      <w:pPr>
        <w:spacing w:before="100" w:beforeAutospacing="1" w:after="100" w:afterAutospacing="1" w:line="240" w:lineRule="auto"/>
        <w:jc w:val="both"/>
        <w:rPr>
          <w:rFonts w:ascii="Times New Roman" w:hAnsi="Times New Roman" w:cs="Times New Roman"/>
          <w:kern w:val="0"/>
          <w:sz w:val="24"/>
          <w:szCs w:val="24"/>
        </w:rPr>
      </w:pPr>
      <w:r w:rsidRPr="004918CA">
        <w:rPr>
          <w:rFonts w:ascii="Times New Roman" w:hAnsi="Times New Roman" w:cs="Times New Roman"/>
          <w:kern w:val="0"/>
          <w:sz w:val="24"/>
          <w:szCs w:val="24"/>
          <w:u w:val="single"/>
        </w:rPr>
        <w:t>Third,</w:t>
      </w:r>
      <w:r w:rsidRPr="004918CA">
        <w:rPr>
          <w:rFonts w:ascii="Times New Roman" w:hAnsi="Times New Roman" w:cs="Times New Roman"/>
          <w:kern w:val="0"/>
          <w:sz w:val="24"/>
          <w:szCs w:val="24"/>
        </w:rPr>
        <w:t xml:space="preserve"> with regards to the composition of the syngas, the TRC report states that:</w:t>
      </w:r>
    </w:p>
    <w:p w14:paraId="07D793F6" w14:textId="77777777" w:rsidR="00930876" w:rsidRPr="004918CA" w:rsidRDefault="00930876" w:rsidP="00930876">
      <w:pPr>
        <w:autoSpaceDE w:val="0"/>
        <w:autoSpaceDN w:val="0"/>
        <w:adjustRightInd w:val="0"/>
        <w:spacing w:before="100" w:beforeAutospacing="1" w:after="100" w:afterAutospacing="1" w:line="240" w:lineRule="auto"/>
        <w:ind w:left="720" w:right="720"/>
        <w:jc w:val="both"/>
        <w:rPr>
          <w:rFonts w:ascii="Times New Roman" w:hAnsi="Times New Roman" w:cs="Times New Roman"/>
          <w:kern w:val="0"/>
          <w:sz w:val="24"/>
          <w:szCs w:val="24"/>
        </w:rPr>
      </w:pPr>
      <w:r w:rsidRPr="004918CA">
        <w:rPr>
          <w:rFonts w:ascii="Times New Roman" w:hAnsi="Times New Roman" w:cs="Times New Roman"/>
          <w:kern w:val="0"/>
          <w:sz w:val="24"/>
          <w:szCs w:val="24"/>
        </w:rPr>
        <w:t>“Table 1 presents the composition of six syngas samples collected from a CHZ Technologies Thermolyzer test facility in May 2017, which is described in Reference 1. The feedstock during the test was tires shredded to a size of one inch or smaller. Table 2 presents the concentrations of impurities measured in a syngas sample collected during the May 2017 testing.</w:t>
      </w:r>
    </w:p>
    <w:p w14:paraId="7453EF99" w14:textId="77777777" w:rsidR="00930876" w:rsidRPr="004918CA" w:rsidRDefault="00930876" w:rsidP="00930876">
      <w:pPr>
        <w:autoSpaceDE w:val="0"/>
        <w:autoSpaceDN w:val="0"/>
        <w:adjustRightInd w:val="0"/>
        <w:spacing w:before="100" w:beforeAutospacing="1" w:after="100" w:afterAutospacing="1" w:line="240" w:lineRule="auto"/>
        <w:ind w:left="720" w:right="720"/>
        <w:jc w:val="both"/>
        <w:rPr>
          <w:rFonts w:ascii="Times New Roman" w:hAnsi="Times New Roman" w:cs="Times New Roman"/>
          <w:kern w:val="0"/>
          <w:sz w:val="24"/>
          <w:szCs w:val="24"/>
        </w:rPr>
      </w:pPr>
      <w:r w:rsidRPr="004918CA">
        <w:rPr>
          <w:rFonts w:ascii="Times New Roman" w:hAnsi="Times New Roman" w:cs="Times New Roman"/>
          <w:kern w:val="0"/>
          <w:sz w:val="24"/>
          <w:szCs w:val="24"/>
        </w:rPr>
        <w:t>Table 3 presents the projected syngas composition when the Thermolyzer uses shredded tires as feedstock. These data were obtained from Reference 2, which also provides emission estimates for the Victory boilers when firing natural gas and syngas. Table 4 presents calculations of the higher heating value (HHV) of the projected syngas along with the carbon dioxide (CO2) emission factor.”</w:t>
      </w:r>
    </w:p>
    <w:p w14:paraId="531BB95E" w14:textId="72440C00" w:rsidR="00930876" w:rsidRPr="004918CA" w:rsidRDefault="00930876" w:rsidP="00930876">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4918CA">
        <w:rPr>
          <w:rFonts w:ascii="Times New Roman" w:hAnsi="Times New Roman" w:cs="Times New Roman"/>
          <w:kern w:val="0"/>
          <w:sz w:val="24"/>
          <w:szCs w:val="24"/>
        </w:rPr>
        <w:t>However, crucially the document noted as Reference 2 (</w:t>
      </w:r>
      <w:r w:rsidRPr="004918CA">
        <w:rPr>
          <w:rFonts w:ascii="Times New Roman" w:hAnsi="Times New Roman" w:cs="Times New Roman"/>
          <w:i/>
          <w:iCs/>
          <w:kern w:val="0"/>
          <w:sz w:val="24"/>
          <w:szCs w:val="24"/>
        </w:rPr>
        <w:t>Youngstown Thermal Summary of Existing Potential to Emit and Potential to Emit with New Boilers and Thermolyzer</w:t>
      </w:r>
      <w:r w:rsidRPr="004918CA">
        <w:rPr>
          <w:rFonts w:ascii="Times New Roman" w:hAnsi="Times New Roman" w:cs="Times New Roman"/>
          <w:kern w:val="0"/>
          <w:sz w:val="24"/>
          <w:szCs w:val="24"/>
        </w:rPr>
        <w:t xml:space="preserve">, Memo by D. Ferro and M. Conway, September 21, 2020) in the TRC report is not available in the record. As a </w:t>
      </w:r>
      <w:proofErr w:type="gramStart"/>
      <w:r w:rsidRPr="004918CA">
        <w:rPr>
          <w:rFonts w:ascii="Times New Roman" w:hAnsi="Times New Roman" w:cs="Times New Roman"/>
          <w:kern w:val="0"/>
          <w:sz w:val="24"/>
          <w:szCs w:val="24"/>
        </w:rPr>
        <w:t>result</w:t>
      </w:r>
      <w:proofErr w:type="gramEnd"/>
      <w:r w:rsidRPr="004918CA">
        <w:rPr>
          <w:rFonts w:ascii="Times New Roman" w:hAnsi="Times New Roman" w:cs="Times New Roman"/>
          <w:kern w:val="0"/>
          <w:sz w:val="24"/>
          <w:szCs w:val="24"/>
        </w:rPr>
        <w:t xml:space="preserve"> there is no way to evaluate or determine the appropriateness of the TRC report’s Table 3 emission factors in the TRC report, which are then used to support emissions the emission calculations for the facility. We note that the data from Reference 1 in the TRC report used tire sizes that are different (“one inch or smaller”) than those contemplated in the facility (“Two Inch Chunks”).  </w:t>
      </w:r>
    </w:p>
    <w:p w14:paraId="69A31D7E" w14:textId="77777777" w:rsidR="00930876" w:rsidRDefault="00930876" w:rsidP="00930876">
      <w:pPr>
        <w:autoSpaceDE w:val="0"/>
        <w:autoSpaceDN w:val="0"/>
        <w:adjustRightInd w:val="0"/>
        <w:spacing w:before="100" w:beforeAutospacing="1" w:after="100" w:afterAutospacing="1" w:line="240" w:lineRule="auto"/>
        <w:ind w:right="59"/>
        <w:jc w:val="both"/>
        <w:rPr>
          <w:rFonts w:ascii="Times New Roman" w:hAnsi="Times New Roman" w:cs="Times New Roman"/>
          <w:kern w:val="0"/>
          <w:sz w:val="24"/>
          <w:szCs w:val="24"/>
        </w:rPr>
      </w:pPr>
      <w:r w:rsidRPr="004918CA">
        <w:rPr>
          <w:rFonts w:ascii="Times New Roman" w:hAnsi="Times New Roman" w:cs="Times New Roman"/>
          <w:kern w:val="0"/>
          <w:sz w:val="24"/>
          <w:szCs w:val="24"/>
        </w:rPr>
        <w:t>As such none of the data in the TRC report can be used as support for the emission calculations.</w:t>
      </w:r>
    </w:p>
    <w:p w14:paraId="67515246" w14:textId="77777777" w:rsidR="0094349C" w:rsidRPr="004918CA" w:rsidRDefault="0094349C" w:rsidP="00930876">
      <w:pPr>
        <w:autoSpaceDE w:val="0"/>
        <w:autoSpaceDN w:val="0"/>
        <w:adjustRightInd w:val="0"/>
        <w:spacing w:before="100" w:beforeAutospacing="1" w:after="100" w:afterAutospacing="1" w:line="240" w:lineRule="auto"/>
        <w:ind w:right="59"/>
        <w:jc w:val="both"/>
        <w:rPr>
          <w:rFonts w:ascii="Times New Roman" w:hAnsi="Times New Roman" w:cs="Times New Roman"/>
          <w:kern w:val="0"/>
          <w:sz w:val="24"/>
          <w:szCs w:val="24"/>
        </w:rPr>
      </w:pPr>
    </w:p>
    <w:p w14:paraId="31AF5C84" w14:textId="77777777" w:rsidR="00930876" w:rsidRPr="004918CA" w:rsidRDefault="00930876" w:rsidP="00930876">
      <w:pPr>
        <w:autoSpaceDE w:val="0"/>
        <w:autoSpaceDN w:val="0"/>
        <w:adjustRightInd w:val="0"/>
        <w:spacing w:before="100" w:beforeAutospacing="1" w:after="100" w:afterAutospacing="1" w:line="240" w:lineRule="auto"/>
        <w:ind w:right="47"/>
        <w:jc w:val="both"/>
        <w:rPr>
          <w:rFonts w:ascii="Times New Roman" w:hAnsi="Times New Roman" w:cs="Times New Roman"/>
          <w:kern w:val="0"/>
          <w:sz w:val="24"/>
          <w:szCs w:val="24"/>
        </w:rPr>
      </w:pPr>
      <w:r w:rsidRPr="004918CA">
        <w:rPr>
          <w:rFonts w:ascii="Times New Roman" w:hAnsi="Times New Roman" w:cs="Times New Roman"/>
          <w:kern w:val="0"/>
          <w:sz w:val="24"/>
          <w:szCs w:val="24"/>
          <w:u w:val="single"/>
        </w:rPr>
        <w:lastRenderedPageBreak/>
        <w:t>Fourth,</w:t>
      </w:r>
      <w:r w:rsidRPr="004918CA">
        <w:rPr>
          <w:rFonts w:ascii="Times New Roman" w:hAnsi="Times New Roman" w:cs="Times New Roman"/>
          <w:kern w:val="0"/>
          <w:sz w:val="24"/>
          <w:szCs w:val="24"/>
        </w:rPr>
        <w:t xml:space="preserve"> the TRC report states, citing to other documents but no data, with regards to NOx emissions that: </w:t>
      </w:r>
    </w:p>
    <w:p w14:paraId="69FA4843" w14:textId="195B3E5A" w:rsidR="00930876" w:rsidRPr="004918CA" w:rsidRDefault="00930876" w:rsidP="0094349C">
      <w:pPr>
        <w:autoSpaceDE w:val="0"/>
        <w:autoSpaceDN w:val="0"/>
        <w:adjustRightInd w:val="0"/>
        <w:spacing w:before="100" w:beforeAutospacing="1" w:after="100" w:afterAutospacing="1" w:line="240" w:lineRule="auto"/>
        <w:ind w:left="720" w:right="720"/>
        <w:jc w:val="both"/>
        <w:rPr>
          <w:rFonts w:ascii="Times New Roman" w:hAnsi="Times New Roman" w:cs="Times New Roman"/>
          <w:kern w:val="0"/>
          <w:sz w:val="24"/>
          <w:szCs w:val="24"/>
        </w:rPr>
      </w:pPr>
      <w:r w:rsidRPr="004918CA">
        <w:rPr>
          <w:rFonts w:ascii="Times New Roman" w:hAnsi="Times New Roman" w:cs="Times New Roman"/>
          <w:kern w:val="0"/>
          <w:sz w:val="24"/>
          <w:szCs w:val="24"/>
        </w:rPr>
        <w:t>““Refinery fuel gas firing generally yields higher thermal NOx formation than natural gas firing due to the higher flame temperatures caused by the higher hydrogen content of the refinery fuel gas.” It is reasonable to assumed that Thermolyzer-produced syngas combustion will resemble refinery process gas combustion and result in similar emissions. Therefore, this report will use criteria</w:t>
      </w:r>
      <w:r w:rsidR="0094349C">
        <w:rPr>
          <w:rFonts w:ascii="Times New Roman" w:hAnsi="Times New Roman" w:cs="Times New Roman"/>
          <w:kern w:val="0"/>
          <w:sz w:val="24"/>
          <w:szCs w:val="24"/>
        </w:rPr>
        <w:t xml:space="preserve"> </w:t>
      </w:r>
      <w:r w:rsidRPr="004918CA">
        <w:rPr>
          <w:rFonts w:ascii="Times New Roman" w:hAnsi="Times New Roman" w:cs="Times New Roman"/>
          <w:kern w:val="0"/>
          <w:sz w:val="24"/>
          <w:szCs w:val="24"/>
        </w:rPr>
        <w:t>pollutant emissions factors for refinery fuel gas combustion to estimate criteria pollutant emissions for syngas combustion.”</w:t>
      </w:r>
    </w:p>
    <w:p w14:paraId="41B32B59" w14:textId="42FD80BF" w:rsidR="00930876" w:rsidRPr="004918CA" w:rsidRDefault="00930876" w:rsidP="00930876">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4918CA">
        <w:rPr>
          <w:rFonts w:ascii="Times New Roman" w:hAnsi="Times New Roman" w:cs="Times New Roman"/>
          <w:kern w:val="0"/>
          <w:sz w:val="24"/>
          <w:szCs w:val="24"/>
        </w:rPr>
        <w:t>The TRC report’s discussion is highly speculative. It does not compare the hydrogen levels from syngas (which itself are unsupported) with typical hydrogen levels in refinery fuel gas – whose hydrogen content can vary significantly. Nor does the TRC report compare the presence of nitrogen species in either syngas or refinery fuel gas. In fact, for NOx, the document cited by TRC itself states that: “[</w:t>
      </w:r>
      <w:r w:rsidRPr="004918CA">
        <w:rPr>
          <w:rFonts w:ascii="Times New Roman" w:hAnsi="Times New Roman" w:cs="Times New Roman"/>
          <w:i/>
          <w:iCs/>
          <w:kern w:val="0"/>
          <w:sz w:val="24"/>
          <w:szCs w:val="24"/>
        </w:rPr>
        <w:t>T]</w:t>
      </w:r>
      <w:proofErr w:type="spellStart"/>
      <w:r w:rsidRPr="004918CA">
        <w:rPr>
          <w:rFonts w:ascii="Times New Roman" w:hAnsi="Times New Roman" w:cs="Times New Roman"/>
          <w:i/>
          <w:iCs/>
          <w:kern w:val="0"/>
          <w:sz w:val="24"/>
          <w:szCs w:val="24"/>
        </w:rPr>
        <w:t>hese</w:t>
      </w:r>
      <w:proofErr w:type="spellEnd"/>
      <w:r w:rsidRPr="004918CA">
        <w:rPr>
          <w:rFonts w:ascii="Times New Roman" w:hAnsi="Times New Roman" w:cs="Times New Roman"/>
          <w:i/>
          <w:iCs/>
          <w:kern w:val="0"/>
          <w:sz w:val="24"/>
          <w:szCs w:val="24"/>
        </w:rPr>
        <w:t xml:space="preserve"> estimates indicate that uncontrolled NOx emission rates range from 0.150 to 0.210 </w:t>
      </w:r>
      <w:proofErr w:type="spellStart"/>
      <w:r w:rsidRPr="004918CA">
        <w:rPr>
          <w:rFonts w:ascii="Times New Roman" w:hAnsi="Times New Roman" w:cs="Times New Roman"/>
          <w:i/>
          <w:iCs/>
          <w:kern w:val="0"/>
          <w:sz w:val="24"/>
          <w:szCs w:val="24"/>
        </w:rPr>
        <w:t>lb</w:t>
      </w:r>
      <w:proofErr w:type="spellEnd"/>
      <w:r w:rsidRPr="004918CA">
        <w:rPr>
          <w:rFonts w:ascii="Times New Roman" w:hAnsi="Times New Roman" w:cs="Times New Roman"/>
          <w:i/>
          <w:iCs/>
          <w:kern w:val="0"/>
          <w:sz w:val="24"/>
          <w:szCs w:val="24"/>
        </w:rPr>
        <w:t xml:space="preserve">/MMBtu for high-hydrogen content refinery gas firing; </w:t>
      </w:r>
      <w:r w:rsidRPr="004918CA">
        <w:rPr>
          <w:rFonts w:ascii="Times New Roman" w:hAnsi="Times New Roman" w:cs="Times New Roman"/>
          <w:i/>
          <w:iCs/>
          <w:kern w:val="0"/>
          <w:sz w:val="24"/>
          <w:szCs w:val="24"/>
          <w:u w:val="single"/>
        </w:rPr>
        <w:t>data were not available to verify this range.</w:t>
      </w:r>
      <w:r w:rsidRPr="004918CA">
        <w:rPr>
          <w:rFonts w:ascii="Times New Roman" w:hAnsi="Times New Roman" w:cs="Times New Roman"/>
          <w:i/>
          <w:iCs/>
          <w:kern w:val="0"/>
          <w:sz w:val="24"/>
          <w:szCs w:val="24"/>
        </w:rPr>
        <w:t>” (</w:t>
      </w:r>
      <w:proofErr w:type="gramStart"/>
      <w:r>
        <w:rPr>
          <w:rFonts w:ascii="Times New Roman" w:hAnsi="Times New Roman" w:cs="Times New Roman"/>
          <w:i/>
          <w:iCs/>
          <w:kern w:val="0"/>
          <w:sz w:val="24"/>
          <w:szCs w:val="24"/>
        </w:rPr>
        <w:t>italics</w:t>
      </w:r>
      <w:proofErr w:type="gramEnd"/>
      <w:r>
        <w:rPr>
          <w:rFonts w:ascii="Times New Roman" w:hAnsi="Times New Roman" w:cs="Times New Roman"/>
          <w:i/>
          <w:iCs/>
          <w:kern w:val="0"/>
          <w:sz w:val="24"/>
          <w:szCs w:val="24"/>
        </w:rPr>
        <w:t xml:space="preserve"> in original, </w:t>
      </w:r>
      <w:r w:rsidRPr="004918CA">
        <w:rPr>
          <w:rFonts w:ascii="Times New Roman" w:hAnsi="Times New Roman" w:cs="Times New Roman"/>
          <w:i/>
          <w:iCs/>
          <w:kern w:val="0"/>
          <w:sz w:val="24"/>
          <w:szCs w:val="24"/>
        </w:rPr>
        <w:t>emphasis added).</w:t>
      </w:r>
    </w:p>
    <w:p w14:paraId="1192DC96" w14:textId="1240FC27" w:rsidR="00930876" w:rsidRPr="004918CA" w:rsidRDefault="00930876" w:rsidP="00930876">
      <w:pPr>
        <w:autoSpaceDE w:val="0"/>
        <w:autoSpaceDN w:val="0"/>
        <w:adjustRightInd w:val="0"/>
        <w:spacing w:before="100" w:beforeAutospacing="1" w:after="100" w:afterAutospacing="1" w:line="240" w:lineRule="auto"/>
        <w:ind w:right="47"/>
        <w:jc w:val="both"/>
        <w:rPr>
          <w:rFonts w:ascii="Times New Roman" w:hAnsi="Times New Roman" w:cs="Times New Roman"/>
          <w:kern w:val="0"/>
          <w:sz w:val="24"/>
          <w:szCs w:val="24"/>
        </w:rPr>
      </w:pPr>
      <w:r w:rsidRPr="004918CA">
        <w:rPr>
          <w:rFonts w:ascii="Times New Roman" w:hAnsi="Times New Roman" w:cs="Times New Roman"/>
          <w:kern w:val="0"/>
          <w:sz w:val="24"/>
          <w:szCs w:val="24"/>
        </w:rPr>
        <w:t>The lack of support for the NOx emission factor is evident. And, since this is the entire basis of TRC’s statement that Thermolyzer gas “will resemble” refinery process gas, the entire “resemblance” is breathtakingly unsupported.</w:t>
      </w:r>
    </w:p>
    <w:p w14:paraId="4A252582" w14:textId="621612B2" w:rsidR="00930876" w:rsidRPr="004918CA" w:rsidRDefault="00930876" w:rsidP="00930876">
      <w:pPr>
        <w:autoSpaceDE w:val="0"/>
        <w:autoSpaceDN w:val="0"/>
        <w:adjustRightInd w:val="0"/>
        <w:spacing w:before="100" w:beforeAutospacing="1" w:after="100" w:afterAutospacing="1" w:line="240" w:lineRule="auto"/>
        <w:ind w:right="47"/>
        <w:jc w:val="both"/>
        <w:rPr>
          <w:rFonts w:ascii="Times New Roman" w:hAnsi="Times New Roman" w:cs="Times New Roman"/>
          <w:kern w:val="0"/>
          <w:sz w:val="24"/>
          <w:szCs w:val="24"/>
        </w:rPr>
      </w:pPr>
      <w:r w:rsidRPr="004918CA">
        <w:rPr>
          <w:rFonts w:ascii="Times New Roman" w:hAnsi="Times New Roman" w:cs="Times New Roman"/>
          <w:kern w:val="0"/>
          <w:sz w:val="24"/>
          <w:szCs w:val="24"/>
        </w:rPr>
        <w:t>Therefore, the further discussion of refinery fuel gas as the basis for emissions from burning Thermolyzer syn gas is similarly speculative and unsupported. Since this is the entire basis for the emissions calculations provided in the record, they cannot be relied upon.</w:t>
      </w:r>
    </w:p>
    <w:p w14:paraId="0E1CBCDA" w14:textId="03D82F27" w:rsidR="00930876" w:rsidRPr="004918CA" w:rsidRDefault="00930876" w:rsidP="00930876">
      <w:pPr>
        <w:autoSpaceDE w:val="0"/>
        <w:autoSpaceDN w:val="0"/>
        <w:adjustRightInd w:val="0"/>
        <w:spacing w:before="100" w:beforeAutospacing="1" w:after="100" w:afterAutospacing="1" w:line="240" w:lineRule="auto"/>
        <w:ind w:right="40"/>
        <w:jc w:val="both"/>
        <w:rPr>
          <w:rFonts w:ascii="Times New Roman" w:hAnsi="Times New Roman" w:cs="Times New Roman"/>
          <w:kern w:val="0"/>
          <w:sz w:val="24"/>
          <w:szCs w:val="24"/>
        </w:rPr>
      </w:pPr>
      <w:r w:rsidRPr="004918CA">
        <w:rPr>
          <w:rFonts w:ascii="Times New Roman" w:hAnsi="Times New Roman" w:cs="Times New Roman"/>
          <w:kern w:val="0"/>
          <w:sz w:val="24"/>
          <w:szCs w:val="24"/>
          <w:u w:val="single"/>
        </w:rPr>
        <w:t>Fifth,</w:t>
      </w:r>
      <w:r w:rsidRPr="004918CA">
        <w:rPr>
          <w:rFonts w:ascii="Times New Roman" w:hAnsi="Times New Roman" w:cs="Times New Roman"/>
          <w:kern w:val="0"/>
          <w:sz w:val="24"/>
          <w:szCs w:val="24"/>
        </w:rPr>
        <w:t xml:space="preserve"> with regards to some of the other emission factors, the TRC report relies on emission factors for the external combustion of refinery process gas in an industrial boiler. But since the “resemblance” of syngas to refinery process gas is speculative and unsupported, the reliance of this equivalence for the other emission factors (for PM, CO, and VOCs) are similarly improper.</w:t>
      </w:r>
    </w:p>
    <w:p w14:paraId="7F85BBC0" w14:textId="1795A1A5" w:rsidR="00930876" w:rsidRPr="004918CA" w:rsidRDefault="00930876" w:rsidP="00930876">
      <w:pPr>
        <w:spacing w:before="100" w:beforeAutospacing="1" w:after="100" w:afterAutospacing="1" w:line="240" w:lineRule="auto"/>
        <w:jc w:val="both"/>
        <w:rPr>
          <w:rFonts w:ascii="Times New Roman" w:hAnsi="Times New Roman" w:cs="Times New Roman"/>
          <w:sz w:val="24"/>
          <w:szCs w:val="24"/>
        </w:rPr>
      </w:pPr>
      <w:r w:rsidRPr="004918CA">
        <w:rPr>
          <w:rFonts w:ascii="Times New Roman" w:hAnsi="Times New Roman" w:cs="Times New Roman"/>
          <w:sz w:val="24"/>
          <w:szCs w:val="24"/>
          <w:u w:val="single"/>
        </w:rPr>
        <w:t>Sixth,</w:t>
      </w:r>
      <w:r w:rsidRPr="004918CA">
        <w:rPr>
          <w:rFonts w:ascii="Times New Roman" w:hAnsi="Times New Roman" w:cs="Times New Roman"/>
          <w:sz w:val="24"/>
          <w:szCs w:val="24"/>
        </w:rPr>
        <w:t xml:space="preserve"> we note that the emissions spreadsheet, in the Thermolyzer tab states that PM2.5 is estimated as 95% of PM10 emissions. The basis for this is not provided.</w:t>
      </w:r>
    </w:p>
    <w:p w14:paraId="4880BCAB" w14:textId="77777777" w:rsidR="00930876" w:rsidRPr="004918CA" w:rsidRDefault="00930876" w:rsidP="00930876">
      <w:pPr>
        <w:spacing w:before="100" w:beforeAutospacing="1" w:after="100" w:afterAutospacing="1" w:line="240" w:lineRule="auto"/>
        <w:jc w:val="both"/>
        <w:rPr>
          <w:rFonts w:ascii="Times New Roman" w:hAnsi="Times New Roman" w:cs="Times New Roman"/>
          <w:b/>
          <w:bCs/>
          <w:i/>
          <w:iCs/>
          <w:sz w:val="24"/>
          <w:szCs w:val="24"/>
        </w:rPr>
      </w:pPr>
      <w:r w:rsidRPr="004918CA">
        <w:rPr>
          <w:rFonts w:ascii="Times New Roman" w:hAnsi="Times New Roman" w:cs="Times New Roman"/>
          <w:b/>
          <w:bCs/>
          <w:i/>
          <w:iCs/>
          <w:sz w:val="24"/>
          <w:szCs w:val="24"/>
        </w:rPr>
        <w:t>4B - Boilers</w:t>
      </w:r>
    </w:p>
    <w:p w14:paraId="0DD2D925" w14:textId="77777777" w:rsidR="00930876" w:rsidRPr="004918CA" w:rsidRDefault="00930876" w:rsidP="00930876">
      <w:pPr>
        <w:spacing w:before="100" w:beforeAutospacing="1" w:after="100" w:afterAutospacing="1" w:line="240" w:lineRule="auto"/>
        <w:jc w:val="both"/>
        <w:rPr>
          <w:rFonts w:ascii="Times New Roman" w:hAnsi="Times New Roman" w:cs="Times New Roman"/>
          <w:sz w:val="24"/>
          <w:szCs w:val="24"/>
        </w:rPr>
      </w:pPr>
      <w:r w:rsidRPr="004918CA">
        <w:rPr>
          <w:rFonts w:ascii="Times New Roman" w:hAnsi="Times New Roman" w:cs="Times New Roman"/>
          <w:sz w:val="24"/>
          <w:szCs w:val="24"/>
        </w:rPr>
        <w:t>In the Tab: Boilers, the following emission factors are provided when the boilers fire syn gas from the Thermolyzer.</w:t>
      </w:r>
    </w:p>
    <w:p w14:paraId="6CE11EEE" w14:textId="77777777" w:rsidR="00930876" w:rsidRDefault="00930876" w:rsidP="00930876">
      <w:pPr>
        <w:spacing w:before="100" w:beforeAutospacing="1" w:after="100" w:afterAutospacing="1" w:line="240" w:lineRule="auto"/>
        <w:jc w:val="center"/>
        <w:rPr>
          <w:rFonts w:ascii="Times New Roman" w:hAnsi="Times New Roman" w:cs="Times New Roman"/>
          <w:sz w:val="24"/>
          <w:szCs w:val="24"/>
        </w:rPr>
      </w:pPr>
      <w:r w:rsidRPr="004918CA">
        <w:rPr>
          <w:rFonts w:ascii="Times New Roman" w:hAnsi="Times New Roman" w:cs="Times New Roman"/>
          <w:noProof/>
          <w:sz w:val="24"/>
          <w:szCs w:val="24"/>
        </w:rPr>
        <w:drawing>
          <wp:inline distT="0" distB="0" distL="0" distR="0" wp14:anchorId="3E961A23" wp14:editId="1F757BF2">
            <wp:extent cx="3672840" cy="1653540"/>
            <wp:effectExtent l="0" t="0" r="3810" b="3810"/>
            <wp:docPr id="9380525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2840" cy="1653540"/>
                    </a:xfrm>
                    <a:prstGeom prst="rect">
                      <a:avLst/>
                    </a:prstGeom>
                    <a:noFill/>
                    <a:ln>
                      <a:noFill/>
                    </a:ln>
                  </pic:spPr>
                </pic:pic>
              </a:graphicData>
            </a:graphic>
          </wp:inline>
        </w:drawing>
      </w:r>
    </w:p>
    <w:p w14:paraId="5DD00B47" w14:textId="77777777" w:rsidR="0094349C" w:rsidRDefault="0094349C" w:rsidP="00930876">
      <w:pPr>
        <w:spacing w:before="100" w:beforeAutospacing="1" w:after="100" w:afterAutospacing="1" w:line="240" w:lineRule="auto"/>
        <w:jc w:val="center"/>
        <w:rPr>
          <w:rFonts w:ascii="Times New Roman" w:hAnsi="Times New Roman" w:cs="Times New Roman"/>
          <w:sz w:val="24"/>
          <w:szCs w:val="24"/>
        </w:rPr>
      </w:pPr>
    </w:p>
    <w:p w14:paraId="64AD64C8" w14:textId="77777777" w:rsidR="0094349C" w:rsidRPr="004918CA" w:rsidRDefault="0094349C" w:rsidP="00930876">
      <w:pPr>
        <w:spacing w:before="100" w:beforeAutospacing="1" w:after="100" w:afterAutospacing="1" w:line="240" w:lineRule="auto"/>
        <w:jc w:val="center"/>
        <w:rPr>
          <w:rFonts w:ascii="Times New Roman" w:hAnsi="Times New Roman" w:cs="Times New Roman"/>
          <w:sz w:val="24"/>
          <w:szCs w:val="24"/>
        </w:rPr>
      </w:pPr>
    </w:p>
    <w:p w14:paraId="38AA0306" w14:textId="6B002E49" w:rsidR="000A08AC" w:rsidRPr="004918CA" w:rsidRDefault="00930876" w:rsidP="00930876">
      <w:pPr>
        <w:spacing w:before="100" w:beforeAutospacing="1" w:after="100" w:afterAutospacing="1" w:line="240" w:lineRule="auto"/>
        <w:jc w:val="both"/>
        <w:rPr>
          <w:rFonts w:ascii="Times New Roman" w:hAnsi="Times New Roman" w:cs="Times New Roman"/>
          <w:sz w:val="24"/>
          <w:szCs w:val="24"/>
        </w:rPr>
      </w:pPr>
      <w:r w:rsidRPr="004918CA">
        <w:rPr>
          <w:rFonts w:ascii="Times New Roman" w:hAnsi="Times New Roman" w:cs="Times New Roman"/>
          <w:sz w:val="24"/>
          <w:szCs w:val="24"/>
        </w:rPr>
        <w:t>The Optics Consulting memo states that these were provided by the boiler vendor, Victory Energy. However, no supporting documents from the boiler vendor are provided. Nor is there any discussion of how the boiler vendor could have arrived at these emission factors even though the notes in this Tab indicate that they are used to estimate worst case emissions from the boilers.</w:t>
      </w:r>
    </w:p>
    <w:p w14:paraId="44057D63" w14:textId="77777777" w:rsidR="00930876" w:rsidRPr="004918CA" w:rsidRDefault="00930876" w:rsidP="00930876">
      <w:pPr>
        <w:spacing w:before="100" w:beforeAutospacing="1" w:after="100" w:afterAutospacing="1" w:line="240" w:lineRule="auto"/>
        <w:jc w:val="both"/>
        <w:rPr>
          <w:rFonts w:ascii="Times New Roman" w:hAnsi="Times New Roman" w:cs="Times New Roman"/>
          <w:b/>
          <w:bCs/>
          <w:i/>
          <w:iCs/>
          <w:sz w:val="24"/>
          <w:szCs w:val="24"/>
        </w:rPr>
      </w:pPr>
      <w:r w:rsidRPr="004918CA">
        <w:rPr>
          <w:rFonts w:ascii="Times New Roman" w:hAnsi="Times New Roman" w:cs="Times New Roman"/>
          <w:b/>
          <w:bCs/>
          <w:i/>
          <w:iCs/>
          <w:sz w:val="24"/>
          <w:szCs w:val="24"/>
        </w:rPr>
        <w:t>4C - Flare</w:t>
      </w:r>
    </w:p>
    <w:p w14:paraId="21A824DF" w14:textId="77777777" w:rsidR="00930876" w:rsidRPr="004918CA" w:rsidRDefault="00930876" w:rsidP="00930876">
      <w:pPr>
        <w:spacing w:before="100" w:beforeAutospacing="1" w:after="100" w:afterAutospacing="1" w:line="240" w:lineRule="auto"/>
        <w:jc w:val="both"/>
        <w:rPr>
          <w:rFonts w:ascii="Times New Roman" w:hAnsi="Times New Roman" w:cs="Times New Roman"/>
          <w:sz w:val="24"/>
          <w:szCs w:val="24"/>
        </w:rPr>
      </w:pPr>
      <w:r w:rsidRPr="004918CA">
        <w:rPr>
          <w:rFonts w:ascii="Times New Roman" w:hAnsi="Times New Roman" w:cs="Times New Roman"/>
          <w:sz w:val="24"/>
          <w:szCs w:val="24"/>
        </w:rPr>
        <w:t>In the Tab: Flare Stack, the following emissions factors are noted for both natural gas and for syn gas.</w:t>
      </w:r>
    </w:p>
    <w:p w14:paraId="4A9B33B0" w14:textId="77777777" w:rsidR="00930876" w:rsidRPr="004918CA" w:rsidRDefault="00930876" w:rsidP="00930876">
      <w:pPr>
        <w:spacing w:before="100" w:beforeAutospacing="1" w:after="100" w:afterAutospacing="1" w:line="240" w:lineRule="auto"/>
        <w:jc w:val="center"/>
        <w:rPr>
          <w:rFonts w:ascii="Times New Roman" w:hAnsi="Times New Roman" w:cs="Times New Roman"/>
          <w:sz w:val="24"/>
          <w:szCs w:val="24"/>
        </w:rPr>
      </w:pPr>
      <w:r w:rsidRPr="004918CA">
        <w:rPr>
          <w:rFonts w:ascii="Times New Roman" w:hAnsi="Times New Roman" w:cs="Times New Roman"/>
          <w:noProof/>
          <w:sz w:val="24"/>
          <w:szCs w:val="24"/>
        </w:rPr>
        <w:drawing>
          <wp:inline distT="0" distB="0" distL="0" distR="0" wp14:anchorId="7920B479" wp14:editId="76B883AF">
            <wp:extent cx="3413760" cy="1684020"/>
            <wp:effectExtent l="0" t="0" r="0" b="0"/>
            <wp:docPr id="8999373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3760" cy="1684020"/>
                    </a:xfrm>
                    <a:prstGeom prst="rect">
                      <a:avLst/>
                    </a:prstGeom>
                    <a:noFill/>
                    <a:ln>
                      <a:noFill/>
                    </a:ln>
                  </pic:spPr>
                </pic:pic>
              </a:graphicData>
            </a:graphic>
          </wp:inline>
        </w:drawing>
      </w:r>
    </w:p>
    <w:p w14:paraId="3F1AB503" w14:textId="77777777" w:rsidR="00930876" w:rsidRPr="004918CA" w:rsidRDefault="00930876" w:rsidP="0093087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w:t>
      </w:r>
      <w:r w:rsidRPr="004918CA">
        <w:rPr>
          <w:rFonts w:ascii="Times New Roman" w:hAnsi="Times New Roman" w:cs="Times New Roman"/>
          <w:sz w:val="24"/>
          <w:szCs w:val="24"/>
        </w:rPr>
        <w:t>he basis for these emission factors is simply not provided.</w:t>
      </w:r>
    </w:p>
    <w:p w14:paraId="7E9F1844" w14:textId="31F5C4EF" w:rsidR="00930876" w:rsidRPr="004918CA" w:rsidRDefault="00930876" w:rsidP="00930876">
      <w:pPr>
        <w:spacing w:before="100" w:beforeAutospacing="1" w:after="100" w:afterAutospacing="1" w:line="240" w:lineRule="auto"/>
        <w:jc w:val="both"/>
        <w:rPr>
          <w:rFonts w:ascii="Times New Roman" w:hAnsi="Times New Roman" w:cs="Times New Roman"/>
          <w:sz w:val="24"/>
          <w:szCs w:val="24"/>
        </w:rPr>
      </w:pPr>
      <w:r w:rsidRPr="004918CA">
        <w:rPr>
          <w:rFonts w:ascii="Times New Roman" w:hAnsi="Times New Roman" w:cs="Times New Roman"/>
          <w:sz w:val="24"/>
          <w:szCs w:val="24"/>
        </w:rPr>
        <w:t>Therefore, collectively, the entire set of emissions estimates for the facility relies on unsupported or poorly supported emission estimates. There is no reason to therefore rely on such emissions estimates.</w:t>
      </w:r>
    </w:p>
    <w:p w14:paraId="3872E349" w14:textId="77777777" w:rsidR="00930876" w:rsidRPr="004918CA" w:rsidRDefault="00930876" w:rsidP="00930876">
      <w:pPr>
        <w:autoSpaceDE w:val="0"/>
        <w:autoSpaceDN w:val="0"/>
        <w:adjustRightInd w:val="0"/>
        <w:spacing w:before="100" w:beforeAutospacing="1" w:after="100" w:afterAutospacing="1" w:line="240" w:lineRule="auto"/>
        <w:jc w:val="both"/>
        <w:rPr>
          <w:rFonts w:ascii="Times New Roman" w:hAnsi="Times New Roman" w:cs="Times New Roman"/>
          <w:kern w:val="0"/>
          <w:sz w:val="24"/>
          <w:szCs w:val="24"/>
        </w:rPr>
      </w:pPr>
      <w:r w:rsidRPr="004918CA">
        <w:rPr>
          <w:rFonts w:ascii="Times New Roman" w:hAnsi="Times New Roman" w:cs="Times New Roman"/>
          <w:b/>
          <w:bCs/>
          <w:kern w:val="0"/>
          <w:sz w:val="24"/>
          <w:szCs w:val="24"/>
          <w:u w:val="single"/>
        </w:rPr>
        <w:t>Comment 5</w:t>
      </w:r>
      <w:r w:rsidRPr="004918CA">
        <w:rPr>
          <w:rFonts w:ascii="Times New Roman" w:hAnsi="Times New Roman" w:cs="Times New Roman"/>
          <w:kern w:val="0"/>
          <w:sz w:val="24"/>
          <w:szCs w:val="24"/>
        </w:rPr>
        <w:t xml:space="preserve"> – The draft permit notes that “…Non-passenger TDC shall make up no more than 10% of the feed stock that is loaded to the reactors.”  It is not clear how this condition will be verified or enforced.</w:t>
      </w:r>
    </w:p>
    <w:p w14:paraId="2A8647A7" w14:textId="77777777" w:rsidR="00930876" w:rsidRPr="004918CA" w:rsidRDefault="00930876" w:rsidP="00930876">
      <w:pPr>
        <w:spacing w:before="100" w:beforeAutospacing="1" w:after="100" w:afterAutospacing="1" w:line="240" w:lineRule="auto"/>
        <w:jc w:val="both"/>
        <w:rPr>
          <w:rFonts w:ascii="Times New Roman" w:hAnsi="Times New Roman" w:cs="Times New Roman"/>
          <w:kern w:val="0"/>
          <w:sz w:val="24"/>
          <w:szCs w:val="24"/>
        </w:rPr>
      </w:pPr>
      <w:r w:rsidRPr="004918CA">
        <w:rPr>
          <w:rFonts w:ascii="Times New Roman" w:hAnsi="Times New Roman" w:cs="Times New Roman"/>
          <w:b/>
          <w:bCs/>
          <w:sz w:val="24"/>
          <w:szCs w:val="24"/>
          <w:u w:val="single"/>
        </w:rPr>
        <w:t>Comment 6</w:t>
      </w:r>
      <w:r w:rsidRPr="004918CA">
        <w:rPr>
          <w:rFonts w:ascii="Times New Roman" w:hAnsi="Times New Roman" w:cs="Times New Roman"/>
          <w:sz w:val="24"/>
          <w:szCs w:val="24"/>
        </w:rPr>
        <w:t xml:space="preserve"> – The draft permit also states that “…</w:t>
      </w:r>
      <w:r w:rsidRPr="004918CA">
        <w:rPr>
          <w:rFonts w:ascii="Times New Roman" w:hAnsi="Times New Roman" w:cs="Times New Roman"/>
          <w:kern w:val="0"/>
          <w:sz w:val="24"/>
          <w:szCs w:val="24"/>
        </w:rPr>
        <w:t>A flow indicator that provides a record of vent stream flow diverted from being routed to the flare at least once every 15 minutes: (a.) The flow indicator shall be installed at the entrance to any bypass line that could divert the vent stream from being routed to the flare, resulting in its emission to the atmosphere.”</w:t>
      </w:r>
    </w:p>
    <w:p w14:paraId="7C77AD3A" w14:textId="1C817405" w:rsidR="00930876" w:rsidRPr="004918CA" w:rsidRDefault="00930876" w:rsidP="00930876">
      <w:pPr>
        <w:spacing w:before="100" w:beforeAutospacing="1" w:after="100" w:afterAutospacing="1" w:line="240" w:lineRule="auto"/>
        <w:jc w:val="both"/>
        <w:rPr>
          <w:rFonts w:ascii="Times New Roman" w:hAnsi="Times New Roman" w:cs="Times New Roman"/>
          <w:kern w:val="0"/>
          <w:sz w:val="24"/>
          <w:szCs w:val="24"/>
        </w:rPr>
      </w:pPr>
      <w:r w:rsidRPr="004918CA">
        <w:rPr>
          <w:rFonts w:ascii="Times New Roman" w:hAnsi="Times New Roman" w:cs="Times New Roman"/>
          <w:kern w:val="0"/>
          <w:sz w:val="24"/>
          <w:szCs w:val="24"/>
        </w:rPr>
        <w:t>It is clear therefore that the flare can be bypassed. However, none of the emissions calculations contemplate this possibility and it is assumed that no gases will bypass the flare. Clearly, since bypass can occur, and is not included in the emissions calculations, the emissions calculations are deficient and underestimate the actual emissions that might occur.</w:t>
      </w:r>
    </w:p>
    <w:p w14:paraId="163D88ED" w14:textId="2D4C9C8A" w:rsidR="00930876" w:rsidRPr="004918CA" w:rsidRDefault="00930876" w:rsidP="00930876">
      <w:pPr>
        <w:spacing w:before="100" w:beforeAutospacing="1" w:after="100" w:afterAutospacing="1" w:line="240" w:lineRule="auto"/>
        <w:jc w:val="both"/>
        <w:rPr>
          <w:rFonts w:ascii="Times New Roman" w:hAnsi="Times New Roman" w:cs="Times New Roman"/>
          <w:kern w:val="0"/>
          <w:sz w:val="24"/>
          <w:szCs w:val="24"/>
        </w:rPr>
      </w:pPr>
      <w:r w:rsidRPr="004918CA">
        <w:rPr>
          <w:rFonts w:ascii="Times New Roman" w:hAnsi="Times New Roman" w:cs="Times New Roman"/>
          <w:b/>
          <w:bCs/>
          <w:kern w:val="0"/>
          <w:sz w:val="24"/>
          <w:szCs w:val="24"/>
          <w:u w:val="single"/>
        </w:rPr>
        <w:t>Comment 7</w:t>
      </w:r>
      <w:r w:rsidRPr="004918CA">
        <w:rPr>
          <w:rFonts w:ascii="Times New Roman" w:hAnsi="Times New Roman" w:cs="Times New Roman"/>
          <w:kern w:val="0"/>
          <w:sz w:val="24"/>
          <w:szCs w:val="24"/>
        </w:rPr>
        <w:t xml:space="preserve"> – The testing condition in the draft permit does not require any testing or verification of the numerous air toxic compounds that will invariably be emitted from the flare. </w:t>
      </w:r>
      <w:proofErr w:type="gramStart"/>
      <w:r w:rsidRPr="004918CA">
        <w:rPr>
          <w:rFonts w:ascii="Times New Roman" w:hAnsi="Times New Roman" w:cs="Times New Roman"/>
          <w:kern w:val="0"/>
          <w:sz w:val="24"/>
          <w:szCs w:val="24"/>
        </w:rPr>
        <w:t>Therefore</w:t>
      </w:r>
      <w:proofErr w:type="gramEnd"/>
      <w:r w:rsidRPr="004918CA">
        <w:rPr>
          <w:rFonts w:ascii="Times New Roman" w:hAnsi="Times New Roman" w:cs="Times New Roman"/>
          <w:kern w:val="0"/>
          <w:sz w:val="24"/>
          <w:szCs w:val="24"/>
        </w:rPr>
        <w:t xml:space="preserve"> the permit is deficient with regards to testing.</w:t>
      </w:r>
    </w:p>
    <w:p w14:paraId="51BAB381" w14:textId="77777777" w:rsidR="00930876" w:rsidRPr="004918CA" w:rsidRDefault="00930876" w:rsidP="00930876">
      <w:pPr>
        <w:spacing w:before="100" w:beforeAutospacing="1" w:after="100" w:afterAutospacing="1" w:line="240" w:lineRule="auto"/>
        <w:jc w:val="both"/>
        <w:rPr>
          <w:rFonts w:ascii="Times New Roman" w:hAnsi="Times New Roman" w:cs="Times New Roman"/>
          <w:color w:val="000000"/>
          <w:kern w:val="0"/>
          <w:sz w:val="24"/>
          <w:szCs w:val="24"/>
        </w:rPr>
      </w:pPr>
      <w:r w:rsidRPr="004918CA">
        <w:rPr>
          <w:rFonts w:ascii="Times New Roman" w:hAnsi="Times New Roman" w:cs="Times New Roman"/>
          <w:b/>
          <w:bCs/>
          <w:sz w:val="24"/>
          <w:szCs w:val="24"/>
          <w:u w:val="single"/>
        </w:rPr>
        <w:t>Comment 8</w:t>
      </w:r>
      <w:r w:rsidRPr="004918CA">
        <w:rPr>
          <w:rFonts w:ascii="Times New Roman" w:hAnsi="Times New Roman" w:cs="Times New Roman"/>
          <w:sz w:val="24"/>
          <w:szCs w:val="24"/>
        </w:rPr>
        <w:t xml:space="preserve"> – The Optics Consulting memo notes that it conducted dispersion modeling to determine the stack height needed to keep ambient concentrations below the national ambient air quality standards and that “[</w:t>
      </w:r>
      <w:r w:rsidRPr="004918CA">
        <w:rPr>
          <w:rFonts w:ascii="Times New Roman" w:hAnsi="Times New Roman" w:cs="Times New Roman"/>
          <w:color w:val="0A0A0A"/>
          <w:kern w:val="0"/>
          <w:sz w:val="24"/>
          <w:szCs w:val="24"/>
        </w:rPr>
        <w:t>M]</w:t>
      </w:r>
      <w:proofErr w:type="spellStart"/>
      <w:r w:rsidRPr="004918CA">
        <w:rPr>
          <w:rFonts w:ascii="Times New Roman" w:hAnsi="Times New Roman" w:cs="Times New Roman"/>
          <w:color w:val="0A0A0A"/>
          <w:kern w:val="0"/>
          <w:sz w:val="24"/>
          <w:szCs w:val="24"/>
        </w:rPr>
        <w:t>odeling</w:t>
      </w:r>
      <w:proofErr w:type="spellEnd"/>
      <w:r w:rsidRPr="004918CA">
        <w:rPr>
          <w:rFonts w:ascii="Times New Roman" w:hAnsi="Times New Roman" w:cs="Times New Roman"/>
          <w:color w:val="0A0A0A"/>
          <w:kern w:val="0"/>
          <w:sz w:val="24"/>
          <w:szCs w:val="24"/>
        </w:rPr>
        <w:t xml:space="preserve">    indicates that 100-</w:t>
      </w:r>
      <w:proofErr w:type="gramStart"/>
      <w:r w:rsidRPr="004918CA">
        <w:rPr>
          <w:rFonts w:ascii="Times New Roman" w:hAnsi="Times New Roman" w:cs="Times New Roman"/>
          <w:color w:val="0A0A0A"/>
          <w:kern w:val="0"/>
          <w:sz w:val="24"/>
          <w:szCs w:val="24"/>
        </w:rPr>
        <w:t>foot  stacks</w:t>
      </w:r>
      <w:proofErr w:type="gramEnd"/>
      <w:r w:rsidRPr="004918CA">
        <w:rPr>
          <w:rFonts w:ascii="Times New Roman" w:hAnsi="Times New Roman" w:cs="Times New Roman"/>
          <w:color w:val="0A0A0A"/>
          <w:kern w:val="0"/>
          <w:sz w:val="24"/>
          <w:szCs w:val="24"/>
        </w:rPr>
        <w:t xml:space="preserve"> are required for the boilers and Thermolyzer."  The summary of the modeling is shown below.</w:t>
      </w:r>
    </w:p>
    <w:p w14:paraId="44581210" w14:textId="00FC9A5D" w:rsidR="000A08AC" w:rsidRPr="004918CA" w:rsidRDefault="00930876" w:rsidP="0094349C">
      <w:pPr>
        <w:spacing w:before="100" w:beforeAutospacing="1" w:after="100" w:afterAutospacing="1" w:line="240" w:lineRule="auto"/>
        <w:jc w:val="center"/>
        <w:rPr>
          <w:rFonts w:ascii="Times New Roman" w:hAnsi="Times New Roman" w:cs="Times New Roman"/>
          <w:sz w:val="24"/>
          <w:szCs w:val="24"/>
        </w:rPr>
      </w:pPr>
      <w:r w:rsidRPr="004918CA">
        <w:rPr>
          <w:rFonts w:ascii="Times New Roman" w:hAnsi="Times New Roman" w:cs="Times New Roman"/>
          <w:noProof/>
          <w:sz w:val="24"/>
          <w:szCs w:val="24"/>
        </w:rPr>
        <w:lastRenderedPageBreak/>
        <w:drawing>
          <wp:inline distT="0" distB="0" distL="0" distR="0" wp14:anchorId="1FA0C8FC" wp14:editId="764B417D">
            <wp:extent cx="4171950" cy="1838325"/>
            <wp:effectExtent l="0" t="0" r="0" b="9525"/>
            <wp:docPr id="9821103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10388" name="Picture 1" descr="A screenshot of a computer&#10;&#10;Description automatically generated"/>
                    <pic:cNvPicPr/>
                  </pic:nvPicPr>
                  <pic:blipFill>
                    <a:blip r:embed="rId9"/>
                    <a:stretch>
                      <a:fillRect/>
                    </a:stretch>
                  </pic:blipFill>
                  <pic:spPr>
                    <a:xfrm>
                      <a:off x="0" y="0"/>
                      <a:ext cx="4171950" cy="1838325"/>
                    </a:xfrm>
                    <a:prstGeom prst="rect">
                      <a:avLst/>
                    </a:prstGeom>
                  </pic:spPr>
                </pic:pic>
              </a:graphicData>
            </a:graphic>
          </wp:inline>
        </w:drawing>
      </w:r>
    </w:p>
    <w:p w14:paraId="4C026535" w14:textId="6F1E20DD" w:rsidR="00930876" w:rsidRDefault="00930876" w:rsidP="00930876">
      <w:pPr>
        <w:spacing w:before="100" w:beforeAutospacing="1" w:after="100" w:afterAutospacing="1" w:line="240" w:lineRule="auto"/>
        <w:jc w:val="both"/>
        <w:rPr>
          <w:rFonts w:ascii="Times New Roman" w:hAnsi="Times New Roman" w:cs="Times New Roman"/>
          <w:sz w:val="24"/>
          <w:szCs w:val="24"/>
        </w:rPr>
      </w:pPr>
      <w:r w:rsidRPr="00047E14">
        <w:rPr>
          <w:rFonts w:ascii="Times New Roman" w:hAnsi="Times New Roman" w:cs="Times New Roman"/>
          <w:sz w:val="24"/>
          <w:szCs w:val="24"/>
          <w:u w:val="single"/>
        </w:rPr>
        <w:t>First,</w:t>
      </w:r>
      <w:r w:rsidRPr="004918CA">
        <w:rPr>
          <w:rFonts w:ascii="Times New Roman" w:hAnsi="Times New Roman" w:cs="Times New Roman"/>
          <w:sz w:val="24"/>
          <w:szCs w:val="24"/>
        </w:rPr>
        <w:t xml:space="preserve"> the highlighted “requirement” below the table refers to the NOx requirement as 188 micrograms per square meter. The units of measurement for this requirement, an air concentration, are not micrograms per square meter but micrograms per cubic meter.  </w:t>
      </w:r>
    </w:p>
    <w:p w14:paraId="12F1876A" w14:textId="71DFAA1B" w:rsidR="00930876" w:rsidRDefault="00930876" w:rsidP="00930876">
      <w:pPr>
        <w:spacing w:before="100" w:beforeAutospacing="1" w:after="100" w:afterAutospacing="1" w:line="240" w:lineRule="auto"/>
        <w:jc w:val="both"/>
        <w:rPr>
          <w:rFonts w:ascii="Times New Roman" w:hAnsi="Times New Roman" w:cs="Times New Roman"/>
          <w:sz w:val="24"/>
          <w:szCs w:val="24"/>
        </w:rPr>
      </w:pPr>
      <w:r w:rsidRPr="00047E14">
        <w:rPr>
          <w:rFonts w:ascii="Times New Roman" w:hAnsi="Times New Roman" w:cs="Times New Roman"/>
          <w:sz w:val="24"/>
          <w:szCs w:val="24"/>
          <w:u w:val="single"/>
        </w:rPr>
        <w:t>Second,</w:t>
      </w:r>
      <w:r>
        <w:rPr>
          <w:rFonts w:ascii="Times New Roman" w:hAnsi="Times New Roman" w:cs="Times New Roman"/>
          <w:sz w:val="24"/>
          <w:szCs w:val="24"/>
        </w:rPr>
        <w:t xml:space="preserve"> s</w:t>
      </w:r>
      <w:r w:rsidRPr="004918CA">
        <w:rPr>
          <w:rFonts w:ascii="Times New Roman" w:hAnsi="Times New Roman" w:cs="Times New Roman"/>
          <w:sz w:val="24"/>
          <w:szCs w:val="24"/>
        </w:rPr>
        <w:t xml:space="preserve">etting aside this apparent typographical error, the sum of the predicted NOx is substantially below 188 micrograms per cubic meter. The Optics Consulting memo does not describe the necessity of the 100-foot-tall boiler and Thermolyzer stacks.  </w:t>
      </w:r>
    </w:p>
    <w:p w14:paraId="520257E3" w14:textId="2C8DB656" w:rsidR="0094349C" w:rsidRDefault="0094349C" w:rsidP="0093087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Ohio organizations submit these comments and request the agency deny the permit. The community has been the sacrifice for far too long; it is time to end the assault on this environmental justice community.  </w:t>
      </w:r>
    </w:p>
    <w:p w14:paraId="057A9C61" w14:textId="77777777" w:rsidR="0094349C" w:rsidRDefault="0094349C" w:rsidP="00930876">
      <w:pPr>
        <w:spacing w:before="100" w:beforeAutospacing="1" w:after="100" w:afterAutospacing="1" w:line="240" w:lineRule="auto"/>
        <w:jc w:val="both"/>
        <w:rPr>
          <w:rFonts w:ascii="Times New Roman" w:hAnsi="Times New Roman" w:cs="Times New Roman"/>
          <w:sz w:val="24"/>
          <w:szCs w:val="24"/>
        </w:rPr>
      </w:pPr>
    </w:p>
    <w:tbl>
      <w:tblPr>
        <w:tblW w:w="7676" w:type="dxa"/>
        <w:tblLook w:val="04A0" w:firstRow="1" w:lastRow="0" w:firstColumn="1" w:lastColumn="0" w:noHBand="0" w:noVBand="1"/>
      </w:tblPr>
      <w:tblGrid>
        <w:gridCol w:w="7676"/>
      </w:tblGrid>
      <w:tr w:rsidR="0094349C" w:rsidRPr="003C7A49" w14:paraId="1BA00633" w14:textId="77777777" w:rsidTr="00566EE1">
        <w:trPr>
          <w:trHeight w:val="287"/>
        </w:trPr>
        <w:tc>
          <w:tcPr>
            <w:tcW w:w="7676" w:type="dxa"/>
            <w:tcBorders>
              <w:top w:val="nil"/>
              <w:left w:val="nil"/>
              <w:bottom w:val="nil"/>
              <w:right w:val="nil"/>
            </w:tcBorders>
            <w:shd w:val="clear" w:color="auto" w:fill="auto"/>
            <w:noWrap/>
            <w:vAlign w:val="center"/>
            <w:hideMark/>
          </w:tcPr>
          <w:p w14:paraId="541E4B12"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Buckeye Environmental Network</w:t>
            </w:r>
          </w:p>
          <w:p w14:paraId="2932C443" w14:textId="77777777" w:rsidR="0094349C" w:rsidRPr="003C7A49"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 xml:space="preserve">Teresa Mills </w:t>
            </w:r>
          </w:p>
        </w:tc>
      </w:tr>
      <w:tr w:rsidR="0094349C" w:rsidRPr="003C7A49" w14:paraId="468F7F8A" w14:textId="77777777" w:rsidTr="00566EE1">
        <w:trPr>
          <w:trHeight w:val="287"/>
        </w:trPr>
        <w:tc>
          <w:tcPr>
            <w:tcW w:w="7676" w:type="dxa"/>
            <w:tcBorders>
              <w:top w:val="nil"/>
              <w:left w:val="nil"/>
              <w:bottom w:val="nil"/>
              <w:right w:val="nil"/>
            </w:tcBorders>
            <w:shd w:val="clear" w:color="auto" w:fill="auto"/>
            <w:noWrap/>
            <w:vAlign w:val="center"/>
            <w:hideMark/>
          </w:tcPr>
          <w:p w14:paraId="651A8D6B" w14:textId="77777777" w:rsidR="0094349C" w:rsidRDefault="0094349C" w:rsidP="00566EE1">
            <w:pPr>
              <w:spacing w:after="0" w:line="240" w:lineRule="auto"/>
              <w:rPr>
                <w:rFonts w:ascii="Calibri" w:eastAsia="Times New Roman" w:hAnsi="Calibri" w:cs="Calibri"/>
                <w:color w:val="000000"/>
                <w:kern w:val="0"/>
                <w14:ligatures w14:val="none"/>
              </w:rPr>
            </w:pPr>
          </w:p>
          <w:p w14:paraId="46B0393B"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 xml:space="preserve">SOBE Concerned Citizens </w:t>
            </w:r>
          </w:p>
          <w:p w14:paraId="719073D5"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 xml:space="preserve">Lynn Anderson </w:t>
            </w:r>
          </w:p>
          <w:p w14:paraId="4DB8A5B1" w14:textId="77777777" w:rsidR="0094349C" w:rsidRDefault="0094349C" w:rsidP="00566EE1">
            <w:pPr>
              <w:spacing w:after="0" w:line="240" w:lineRule="auto"/>
              <w:rPr>
                <w:rFonts w:ascii="Calibri" w:eastAsia="Times New Roman" w:hAnsi="Calibri" w:cs="Calibri"/>
                <w:color w:val="000000"/>
                <w:kern w:val="0"/>
                <w14:ligatures w14:val="none"/>
              </w:rPr>
            </w:pPr>
          </w:p>
          <w:p w14:paraId="3FB9661F"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6D3F6002" w14:textId="77777777" w:rsidTr="00566EE1">
        <w:trPr>
          <w:trHeight w:val="287"/>
        </w:trPr>
        <w:tc>
          <w:tcPr>
            <w:tcW w:w="7676" w:type="dxa"/>
            <w:tcBorders>
              <w:top w:val="nil"/>
              <w:left w:val="nil"/>
              <w:bottom w:val="nil"/>
              <w:right w:val="nil"/>
            </w:tcBorders>
            <w:shd w:val="clear" w:color="auto" w:fill="auto"/>
            <w:noWrap/>
            <w:vAlign w:val="center"/>
            <w:hideMark/>
          </w:tcPr>
          <w:p w14:paraId="0A1CA787"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 xml:space="preserve">Ohio NAACP </w:t>
            </w:r>
          </w:p>
          <w:p w14:paraId="0853AA15"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 xml:space="preserve">Annette McCoy </w:t>
            </w:r>
          </w:p>
          <w:p w14:paraId="0CB09869" w14:textId="77777777" w:rsidR="0094349C" w:rsidRDefault="0094349C" w:rsidP="00566EE1">
            <w:pPr>
              <w:spacing w:after="0" w:line="240" w:lineRule="auto"/>
              <w:rPr>
                <w:rFonts w:ascii="Calibri" w:eastAsia="Times New Roman" w:hAnsi="Calibri" w:cs="Calibri"/>
                <w:color w:val="000000"/>
                <w:kern w:val="0"/>
                <w14:ligatures w14:val="none"/>
              </w:rPr>
            </w:pPr>
          </w:p>
          <w:p w14:paraId="6DD3B122"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408311F6" w14:textId="77777777" w:rsidTr="00566EE1">
        <w:trPr>
          <w:trHeight w:val="287"/>
        </w:trPr>
        <w:tc>
          <w:tcPr>
            <w:tcW w:w="7676" w:type="dxa"/>
            <w:tcBorders>
              <w:top w:val="nil"/>
              <w:left w:val="nil"/>
              <w:bottom w:val="nil"/>
              <w:right w:val="nil"/>
            </w:tcBorders>
            <w:shd w:val="clear" w:color="auto" w:fill="auto"/>
            <w:noWrap/>
            <w:vAlign w:val="center"/>
            <w:hideMark/>
          </w:tcPr>
          <w:p w14:paraId="335313E7"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Black Appalachian Coalition (BLAC)</w:t>
            </w:r>
          </w:p>
          <w:p w14:paraId="152F6368" w14:textId="77777777" w:rsidR="0094349C" w:rsidRDefault="0094349C" w:rsidP="00566EE1">
            <w:pPr>
              <w:spacing w:after="0" w:line="240" w:lineRule="auto"/>
              <w:ind w:left="-17"/>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 xml:space="preserve"> Archbishop Marcia Dinkins (founder) </w:t>
            </w:r>
          </w:p>
          <w:p w14:paraId="56054221" w14:textId="77777777" w:rsidR="0094349C" w:rsidRDefault="0094349C" w:rsidP="00566EE1">
            <w:pPr>
              <w:spacing w:after="0" w:line="240" w:lineRule="auto"/>
              <w:ind w:left="-17"/>
              <w:rPr>
                <w:rFonts w:ascii="Calibri" w:eastAsia="Times New Roman" w:hAnsi="Calibri" w:cs="Calibri"/>
                <w:color w:val="000000"/>
                <w:kern w:val="0"/>
                <w14:ligatures w14:val="none"/>
              </w:rPr>
            </w:pPr>
          </w:p>
          <w:p w14:paraId="22C6D26B" w14:textId="77777777" w:rsidR="0094349C" w:rsidRPr="003C7A49" w:rsidRDefault="0094349C" w:rsidP="00566EE1">
            <w:pPr>
              <w:spacing w:after="0" w:line="240" w:lineRule="auto"/>
              <w:ind w:left="-17"/>
              <w:rPr>
                <w:rFonts w:ascii="Calibri" w:eastAsia="Times New Roman" w:hAnsi="Calibri" w:cs="Calibri"/>
                <w:color w:val="000000"/>
                <w:kern w:val="0"/>
                <w14:ligatures w14:val="none"/>
              </w:rPr>
            </w:pPr>
          </w:p>
        </w:tc>
      </w:tr>
      <w:tr w:rsidR="0094349C" w:rsidRPr="003C7A49" w14:paraId="0EBD93C6" w14:textId="77777777" w:rsidTr="00566EE1">
        <w:trPr>
          <w:trHeight w:val="287"/>
        </w:trPr>
        <w:tc>
          <w:tcPr>
            <w:tcW w:w="7676" w:type="dxa"/>
            <w:tcBorders>
              <w:top w:val="nil"/>
              <w:left w:val="nil"/>
              <w:bottom w:val="nil"/>
              <w:right w:val="nil"/>
            </w:tcBorders>
            <w:shd w:val="clear" w:color="auto" w:fill="auto"/>
            <w:noWrap/>
            <w:vAlign w:val="center"/>
            <w:hideMark/>
          </w:tcPr>
          <w:p w14:paraId="7F54E1F4"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Black Environmental Leaders (BEL)</w:t>
            </w:r>
          </w:p>
          <w:p w14:paraId="766D5ACD"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Mark Gavin Sr &amp; Dion Mensah</w:t>
            </w:r>
          </w:p>
          <w:p w14:paraId="5C4172C4" w14:textId="77777777" w:rsidR="0094349C" w:rsidRDefault="0094349C" w:rsidP="00566EE1">
            <w:pPr>
              <w:spacing w:after="0" w:line="240" w:lineRule="auto"/>
              <w:rPr>
                <w:rFonts w:ascii="Calibri" w:eastAsia="Times New Roman" w:hAnsi="Calibri" w:cs="Calibri"/>
                <w:color w:val="000000"/>
                <w:kern w:val="0"/>
                <w14:ligatures w14:val="none"/>
              </w:rPr>
            </w:pPr>
          </w:p>
          <w:p w14:paraId="55DCB2A0"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7D26EB76" w14:textId="77777777" w:rsidTr="00566EE1">
        <w:trPr>
          <w:trHeight w:val="287"/>
        </w:trPr>
        <w:tc>
          <w:tcPr>
            <w:tcW w:w="7676" w:type="dxa"/>
            <w:tcBorders>
              <w:top w:val="nil"/>
              <w:left w:val="nil"/>
              <w:bottom w:val="nil"/>
              <w:right w:val="nil"/>
            </w:tcBorders>
            <w:shd w:val="clear" w:color="auto" w:fill="auto"/>
            <w:noWrap/>
            <w:vAlign w:val="center"/>
            <w:hideMark/>
          </w:tcPr>
          <w:p w14:paraId="1F9C548D"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Black Environmental Leaders Action Fund (BEL AF)</w:t>
            </w:r>
          </w:p>
          <w:p w14:paraId="4B645D45"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Mark Gavin Sr &amp; Dion Mensah</w:t>
            </w:r>
          </w:p>
          <w:p w14:paraId="645AF4CF" w14:textId="77777777" w:rsidR="0094349C" w:rsidRDefault="0094349C" w:rsidP="00566EE1">
            <w:pPr>
              <w:spacing w:after="0" w:line="240" w:lineRule="auto"/>
              <w:rPr>
                <w:rFonts w:ascii="Calibri" w:eastAsia="Times New Roman" w:hAnsi="Calibri" w:cs="Calibri"/>
                <w:color w:val="000000"/>
                <w:kern w:val="0"/>
                <w14:ligatures w14:val="none"/>
              </w:rPr>
            </w:pPr>
          </w:p>
          <w:p w14:paraId="106E93C0"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545B56AA" w14:textId="77777777" w:rsidTr="00566EE1">
        <w:trPr>
          <w:trHeight w:val="287"/>
        </w:trPr>
        <w:tc>
          <w:tcPr>
            <w:tcW w:w="7676" w:type="dxa"/>
            <w:tcBorders>
              <w:top w:val="nil"/>
              <w:left w:val="nil"/>
              <w:bottom w:val="nil"/>
              <w:right w:val="nil"/>
            </w:tcBorders>
            <w:shd w:val="clear" w:color="auto" w:fill="auto"/>
            <w:noWrap/>
            <w:vAlign w:val="center"/>
            <w:hideMark/>
          </w:tcPr>
          <w:p w14:paraId="59240F58"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People Over Petro Coalition (POPCO)</w:t>
            </w:r>
          </w:p>
          <w:p w14:paraId="576D7803"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Cheryl Johncox</w:t>
            </w:r>
          </w:p>
          <w:p w14:paraId="1DA1EB26" w14:textId="77777777" w:rsidR="0094349C" w:rsidRDefault="0094349C" w:rsidP="00566EE1">
            <w:pPr>
              <w:spacing w:after="0" w:line="240" w:lineRule="auto"/>
              <w:rPr>
                <w:rFonts w:ascii="Calibri" w:eastAsia="Times New Roman" w:hAnsi="Calibri" w:cs="Calibri"/>
                <w:color w:val="000000"/>
                <w:kern w:val="0"/>
                <w14:ligatures w14:val="none"/>
              </w:rPr>
            </w:pPr>
          </w:p>
          <w:p w14:paraId="67C6E566"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28F5576B" w14:textId="77777777" w:rsidTr="00566EE1">
        <w:trPr>
          <w:trHeight w:val="287"/>
        </w:trPr>
        <w:tc>
          <w:tcPr>
            <w:tcW w:w="7676" w:type="dxa"/>
            <w:tcBorders>
              <w:top w:val="nil"/>
              <w:left w:val="nil"/>
              <w:bottom w:val="nil"/>
              <w:right w:val="nil"/>
            </w:tcBorders>
            <w:shd w:val="clear" w:color="auto" w:fill="auto"/>
            <w:noWrap/>
            <w:vAlign w:val="center"/>
            <w:hideMark/>
          </w:tcPr>
          <w:p w14:paraId="4F18A514"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Between the Waters</w:t>
            </w:r>
          </w:p>
          <w:p w14:paraId="7F81CAA0"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Dr. Peggy Ann Berry</w:t>
            </w:r>
          </w:p>
          <w:p w14:paraId="31475E94" w14:textId="77777777" w:rsidR="0094349C" w:rsidRDefault="0094349C" w:rsidP="00566EE1">
            <w:pPr>
              <w:spacing w:after="0" w:line="240" w:lineRule="auto"/>
              <w:rPr>
                <w:rFonts w:ascii="Calibri" w:eastAsia="Times New Roman" w:hAnsi="Calibri" w:cs="Calibri"/>
                <w:color w:val="000000"/>
                <w:kern w:val="0"/>
                <w14:ligatures w14:val="none"/>
              </w:rPr>
            </w:pPr>
          </w:p>
          <w:p w14:paraId="1A041063"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4F369017" w14:textId="77777777" w:rsidTr="00566EE1">
        <w:trPr>
          <w:trHeight w:val="287"/>
        </w:trPr>
        <w:tc>
          <w:tcPr>
            <w:tcW w:w="7676" w:type="dxa"/>
            <w:tcBorders>
              <w:top w:val="nil"/>
              <w:left w:val="nil"/>
              <w:bottom w:val="nil"/>
              <w:right w:val="nil"/>
            </w:tcBorders>
            <w:shd w:val="clear" w:color="auto" w:fill="auto"/>
            <w:noWrap/>
            <w:vAlign w:val="center"/>
            <w:hideMark/>
          </w:tcPr>
          <w:p w14:paraId="67277936"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Ashtabula County Water Watc</w:t>
            </w:r>
            <w:r>
              <w:rPr>
                <w:rFonts w:ascii="Calibri" w:eastAsia="Times New Roman" w:hAnsi="Calibri" w:cs="Calibri"/>
                <w:color w:val="000000"/>
                <w:kern w:val="0"/>
                <w14:ligatures w14:val="none"/>
              </w:rPr>
              <w:t>h</w:t>
            </w:r>
          </w:p>
          <w:p w14:paraId="7062088C"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Mardy Towns</w:t>
            </w:r>
            <w:r>
              <w:rPr>
                <w:rFonts w:ascii="Calibri" w:eastAsia="Times New Roman" w:hAnsi="Calibri" w:cs="Calibri"/>
                <w:color w:val="000000"/>
                <w:kern w:val="0"/>
                <w14:ligatures w14:val="none"/>
              </w:rPr>
              <w:t>end</w:t>
            </w:r>
          </w:p>
          <w:p w14:paraId="7BEECD54" w14:textId="77777777" w:rsidR="0094349C" w:rsidRDefault="0094349C" w:rsidP="00566EE1">
            <w:pPr>
              <w:spacing w:after="0" w:line="240" w:lineRule="auto"/>
              <w:rPr>
                <w:rFonts w:ascii="Calibri" w:eastAsia="Times New Roman" w:hAnsi="Calibri" w:cs="Calibri"/>
                <w:color w:val="000000"/>
                <w:kern w:val="0"/>
                <w14:ligatures w14:val="none"/>
              </w:rPr>
            </w:pPr>
          </w:p>
          <w:p w14:paraId="13481411"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bl>
    <w:p w14:paraId="36DB3557" w14:textId="77777777" w:rsidR="0094349C" w:rsidRPr="004918CA" w:rsidRDefault="0094349C" w:rsidP="00930876">
      <w:pPr>
        <w:spacing w:before="100" w:beforeAutospacing="1" w:after="100" w:afterAutospacing="1" w:line="240" w:lineRule="auto"/>
        <w:jc w:val="both"/>
        <w:rPr>
          <w:rFonts w:ascii="Times New Roman" w:hAnsi="Times New Roman" w:cs="Times New Roman"/>
          <w:sz w:val="24"/>
          <w:szCs w:val="24"/>
        </w:rPr>
      </w:pPr>
    </w:p>
    <w:tbl>
      <w:tblPr>
        <w:tblW w:w="7676" w:type="dxa"/>
        <w:tblLook w:val="04A0" w:firstRow="1" w:lastRow="0" w:firstColumn="1" w:lastColumn="0" w:noHBand="0" w:noVBand="1"/>
      </w:tblPr>
      <w:tblGrid>
        <w:gridCol w:w="7460"/>
        <w:gridCol w:w="216"/>
      </w:tblGrid>
      <w:tr w:rsidR="0094349C" w:rsidRPr="003C7A49" w14:paraId="35EB3D05" w14:textId="77777777" w:rsidTr="0094349C">
        <w:trPr>
          <w:trHeight w:val="287"/>
        </w:trPr>
        <w:tc>
          <w:tcPr>
            <w:tcW w:w="7676" w:type="dxa"/>
            <w:gridSpan w:val="2"/>
            <w:tcBorders>
              <w:top w:val="nil"/>
              <w:left w:val="nil"/>
              <w:bottom w:val="nil"/>
              <w:right w:val="nil"/>
            </w:tcBorders>
            <w:shd w:val="clear" w:color="auto" w:fill="auto"/>
            <w:noWrap/>
            <w:vAlign w:val="center"/>
            <w:hideMark/>
          </w:tcPr>
          <w:p w14:paraId="6109D940"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Ohio Brine Task Force</w:t>
            </w:r>
          </w:p>
          <w:p w14:paraId="51E0500E"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 xml:space="preserve">Roxanne Groff </w:t>
            </w:r>
          </w:p>
          <w:p w14:paraId="256C00D4" w14:textId="77777777" w:rsidR="0094349C" w:rsidRDefault="0094349C" w:rsidP="00566EE1">
            <w:pPr>
              <w:spacing w:after="0" w:line="240" w:lineRule="auto"/>
              <w:rPr>
                <w:rFonts w:ascii="Calibri" w:eastAsia="Times New Roman" w:hAnsi="Calibri" w:cs="Calibri"/>
                <w:color w:val="000000"/>
                <w:kern w:val="0"/>
                <w14:ligatures w14:val="none"/>
              </w:rPr>
            </w:pPr>
          </w:p>
          <w:p w14:paraId="3B689364"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768263BD" w14:textId="77777777" w:rsidTr="0094349C">
        <w:trPr>
          <w:trHeight w:val="287"/>
        </w:trPr>
        <w:tc>
          <w:tcPr>
            <w:tcW w:w="7676" w:type="dxa"/>
            <w:gridSpan w:val="2"/>
            <w:tcBorders>
              <w:top w:val="nil"/>
              <w:left w:val="nil"/>
              <w:bottom w:val="nil"/>
              <w:right w:val="nil"/>
            </w:tcBorders>
            <w:shd w:val="clear" w:color="auto" w:fill="auto"/>
            <w:noWrap/>
            <w:vAlign w:val="center"/>
            <w:hideMark/>
          </w:tcPr>
          <w:p w14:paraId="1C90AC8E"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Coshocton Environmental and Community Awareness</w:t>
            </w:r>
          </w:p>
          <w:p w14:paraId="75387EDA"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 xml:space="preserve">Nick Teti </w:t>
            </w:r>
          </w:p>
          <w:p w14:paraId="1367650A" w14:textId="77777777" w:rsidR="0094349C" w:rsidRDefault="0094349C" w:rsidP="00566EE1">
            <w:pPr>
              <w:spacing w:after="0" w:line="240" w:lineRule="auto"/>
              <w:rPr>
                <w:rFonts w:ascii="Calibri" w:eastAsia="Times New Roman" w:hAnsi="Calibri" w:cs="Calibri"/>
                <w:color w:val="000000"/>
                <w:kern w:val="0"/>
                <w14:ligatures w14:val="none"/>
              </w:rPr>
            </w:pPr>
          </w:p>
          <w:p w14:paraId="009BDD38"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501CDB97" w14:textId="77777777" w:rsidTr="0094349C">
        <w:trPr>
          <w:trHeight w:val="287"/>
        </w:trPr>
        <w:tc>
          <w:tcPr>
            <w:tcW w:w="7676" w:type="dxa"/>
            <w:gridSpan w:val="2"/>
            <w:tcBorders>
              <w:top w:val="nil"/>
              <w:left w:val="nil"/>
              <w:bottom w:val="nil"/>
              <w:right w:val="nil"/>
            </w:tcBorders>
            <w:shd w:val="clear" w:color="auto" w:fill="auto"/>
            <w:noWrap/>
            <w:vAlign w:val="center"/>
            <w:hideMark/>
          </w:tcPr>
          <w:p w14:paraId="033944EC"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Fresh Water Account</w:t>
            </w:r>
            <w:r>
              <w:rPr>
                <w:rFonts w:ascii="Calibri" w:eastAsia="Times New Roman" w:hAnsi="Calibri" w:cs="Calibri"/>
                <w:color w:val="000000"/>
                <w:kern w:val="0"/>
                <w14:ligatures w14:val="none"/>
              </w:rPr>
              <w:t>a</w:t>
            </w:r>
            <w:r w:rsidRPr="003C7A49">
              <w:rPr>
                <w:rFonts w:ascii="Calibri" w:eastAsia="Times New Roman" w:hAnsi="Calibri" w:cs="Calibri"/>
                <w:color w:val="000000"/>
                <w:kern w:val="0"/>
                <w14:ligatures w14:val="none"/>
              </w:rPr>
              <w:t>bility Project</w:t>
            </w:r>
          </w:p>
          <w:p w14:paraId="4715C91B"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 xml:space="preserve">Leatra Harper </w:t>
            </w:r>
          </w:p>
          <w:p w14:paraId="29D0F391"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544FC567" w14:textId="77777777" w:rsidTr="0094349C">
        <w:trPr>
          <w:trHeight w:val="287"/>
        </w:trPr>
        <w:tc>
          <w:tcPr>
            <w:tcW w:w="7676" w:type="dxa"/>
            <w:gridSpan w:val="2"/>
            <w:tcBorders>
              <w:top w:val="nil"/>
              <w:left w:val="nil"/>
              <w:bottom w:val="nil"/>
              <w:right w:val="nil"/>
            </w:tcBorders>
            <w:shd w:val="clear" w:color="auto" w:fill="auto"/>
            <w:noWrap/>
            <w:vAlign w:val="center"/>
          </w:tcPr>
          <w:p w14:paraId="7E21087E"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2E4118B3" w14:textId="77777777" w:rsidTr="0094349C">
        <w:trPr>
          <w:trHeight w:val="287"/>
        </w:trPr>
        <w:tc>
          <w:tcPr>
            <w:tcW w:w="7676" w:type="dxa"/>
            <w:gridSpan w:val="2"/>
            <w:tcBorders>
              <w:top w:val="nil"/>
              <w:left w:val="nil"/>
              <w:bottom w:val="nil"/>
              <w:right w:val="nil"/>
            </w:tcBorders>
            <w:shd w:val="clear" w:color="auto" w:fill="auto"/>
            <w:noWrap/>
            <w:vAlign w:val="center"/>
            <w:hideMark/>
          </w:tcPr>
          <w:p w14:paraId="1354F589"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Concerned Citizens of Lake Township/IEL superfund site</w:t>
            </w:r>
          </w:p>
          <w:p w14:paraId="3D5C3893"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 xml:space="preserve">Chris Borello </w:t>
            </w:r>
          </w:p>
          <w:p w14:paraId="3B6C9FDE" w14:textId="77777777" w:rsidR="0094349C" w:rsidRDefault="0094349C" w:rsidP="00566EE1">
            <w:pPr>
              <w:spacing w:after="0" w:line="240" w:lineRule="auto"/>
              <w:rPr>
                <w:rFonts w:ascii="Calibri" w:eastAsia="Times New Roman" w:hAnsi="Calibri" w:cs="Calibri"/>
                <w:color w:val="000000"/>
                <w:kern w:val="0"/>
                <w14:ligatures w14:val="none"/>
              </w:rPr>
            </w:pPr>
          </w:p>
          <w:p w14:paraId="15F334E6"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4AD94811" w14:textId="77777777" w:rsidTr="0094349C">
        <w:trPr>
          <w:gridAfter w:val="1"/>
          <w:wAfter w:w="216" w:type="dxa"/>
          <w:trHeight w:val="287"/>
        </w:trPr>
        <w:tc>
          <w:tcPr>
            <w:tcW w:w="7460" w:type="dxa"/>
            <w:tcBorders>
              <w:top w:val="nil"/>
              <w:left w:val="nil"/>
              <w:bottom w:val="nil"/>
              <w:right w:val="nil"/>
            </w:tcBorders>
            <w:shd w:val="clear" w:color="auto" w:fill="auto"/>
            <w:noWrap/>
            <w:vAlign w:val="center"/>
            <w:hideMark/>
          </w:tcPr>
          <w:p w14:paraId="0D0AFB40"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Radioactive Waste Alert</w:t>
            </w:r>
          </w:p>
          <w:p w14:paraId="79557E25"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Carolyn Harding</w:t>
            </w:r>
          </w:p>
          <w:p w14:paraId="5FD53E9C" w14:textId="77777777" w:rsidR="0094349C" w:rsidRDefault="0094349C" w:rsidP="00566EE1">
            <w:pPr>
              <w:spacing w:after="0" w:line="240" w:lineRule="auto"/>
              <w:rPr>
                <w:rFonts w:ascii="Calibri" w:eastAsia="Times New Roman" w:hAnsi="Calibri" w:cs="Calibri"/>
                <w:color w:val="000000"/>
                <w:kern w:val="0"/>
                <w14:ligatures w14:val="none"/>
              </w:rPr>
            </w:pPr>
          </w:p>
          <w:p w14:paraId="12CFD98A"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4BA8F8A0" w14:textId="77777777" w:rsidTr="0094349C">
        <w:trPr>
          <w:gridAfter w:val="1"/>
          <w:wAfter w:w="216" w:type="dxa"/>
          <w:trHeight w:val="287"/>
        </w:trPr>
        <w:tc>
          <w:tcPr>
            <w:tcW w:w="7460" w:type="dxa"/>
            <w:tcBorders>
              <w:top w:val="nil"/>
              <w:left w:val="nil"/>
              <w:bottom w:val="nil"/>
              <w:right w:val="nil"/>
            </w:tcBorders>
            <w:shd w:val="clear" w:color="auto" w:fill="auto"/>
            <w:noWrap/>
            <w:vAlign w:val="center"/>
            <w:hideMark/>
          </w:tcPr>
          <w:p w14:paraId="0CAE9237"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Citizen Pollution Watch</w:t>
            </w:r>
          </w:p>
          <w:p w14:paraId="202BF9E3"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 xml:space="preserve">Jenny Morgan </w:t>
            </w:r>
          </w:p>
          <w:p w14:paraId="521E2BE4" w14:textId="77777777" w:rsidR="0094349C" w:rsidRDefault="0094349C" w:rsidP="00566EE1">
            <w:pPr>
              <w:spacing w:after="0" w:line="240" w:lineRule="auto"/>
              <w:rPr>
                <w:rFonts w:ascii="Calibri" w:eastAsia="Times New Roman" w:hAnsi="Calibri" w:cs="Calibri"/>
                <w:color w:val="000000"/>
                <w:kern w:val="0"/>
                <w14:ligatures w14:val="none"/>
              </w:rPr>
            </w:pPr>
          </w:p>
          <w:p w14:paraId="6A86AD08"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5CECC740" w14:textId="77777777" w:rsidTr="0094349C">
        <w:trPr>
          <w:gridAfter w:val="1"/>
          <w:wAfter w:w="216" w:type="dxa"/>
          <w:trHeight w:val="287"/>
        </w:trPr>
        <w:tc>
          <w:tcPr>
            <w:tcW w:w="7460" w:type="dxa"/>
            <w:tcBorders>
              <w:top w:val="nil"/>
              <w:left w:val="nil"/>
              <w:bottom w:val="nil"/>
              <w:right w:val="nil"/>
            </w:tcBorders>
            <w:shd w:val="clear" w:color="auto" w:fill="auto"/>
            <w:noWrap/>
            <w:vAlign w:val="center"/>
            <w:hideMark/>
          </w:tcPr>
          <w:p w14:paraId="2C570178"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Athens County Future Action Network</w:t>
            </w:r>
          </w:p>
          <w:p w14:paraId="20E02F4A"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Heather Cantino</w:t>
            </w:r>
          </w:p>
          <w:p w14:paraId="5382E36D" w14:textId="77777777" w:rsidR="0094349C" w:rsidRDefault="0094349C" w:rsidP="00566EE1">
            <w:pPr>
              <w:spacing w:after="0" w:line="240" w:lineRule="auto"/>
              <w:rPr>
                <w:rFonts w:ascii="Calibri" w:eastAsia="Times New Roman" w:hAnsi="Calibri" w:cs="Calibri"/>
                <w:color w:val="000000"/>
                <w:kern w:val="0"/>
                <w14:ligatures w14:val="none"/>
              </w:rPr>
            </w:pPr>
          </w:p>
          <w:p w14:paraId="5F5BB99E"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25014DBE" w14:textId="77777777" w:rsidTr="00566EE1">
        <w:trPr>
          <w:trHeight w:val="287"/>
        </w:trPr>
        <w:tc>
          <w:tcPr>
            <w:tcW w:w="7676" w:type="dxa"/>
            <w:gridSpan w:val="2"/>
            <w:tcBorders>
              <w:top w:val="nil"/>
              <w:left w:val="nil"/>
              <w:bottom w:val="nil"/>
              <w:right w:val="nil"/>
            </w:tcBorders>
            <w:shd w:val="clear" w:color="auto" w:fill="auto"/>
            <w:noWrap/>
            <w:vAlign w:val="center"/>
            <w:hideMark/>
          </w:tcPr>
          <w:p w14:paraId="4C974BD1" w14:textId="77777777" w:rsidR="0094349C" w:rsidRDefault="0094349C" w:rsidP="00566EE1">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Sustainable Medina County </w:t>
            </w:r>
          </w:p>
          <w:p w14:paraId="63445D93"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Kathie Jones</w:t>
            </w:r>
          </w:p>
          <w:p w14:paraId="50C6C9A3" w14:textId="77777777" w:rsidR="0094349C" w:rsidRDefault="0094349C" w:rsidP="00566EE1">
            <w:pPr>
              <w:spacing w:after="0" w:line="240" w:lineRule="auto"/>
              <w:rPr>
                <w:rFonts w:ascii="Calibri" w:eastAsia="Times New Roman" w:hAnsi="Calibri" w:cs="Calibri"/>
                <w:color w:val="000000"/>
                <w:kern w:val="0"/>
                <w14:ligatures w14:val="none"/>
              </w:rPr>
            </w:pPr>
          </w:p>
          <w:p w14:paraId="75324801"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306D4D46" w14:textId="77777777" w:rsidTr="00566EE1">
        <w:trPr>
          <w:trHeight w:val="287"/>
        </w:trPr>
        <w:tc>
          <w:tcPr>
            <w:tcW w:w="7676" w:type="dxa"/>
            <w:gridSpan w:val="2"/>
            <w:tcBorders>
              <w:top w:val="nil"/>
              <w:left w:val="nil"/>
              <w:bottom w:val="nil"/>
              <w:right w:val="nil"/>
            </w:tcBorders>
            <w:shd w:val="clear" w:color="auto" w:fill="auto"/>
            <w:noWrap/>
            <w:vAlign w:val="center"/>
            <w:hideMark/>
          </w:tcPr>
          <w:p w14:paraId="3E1043C5"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Network for Oil and Gas Accountability and Protection</w:t>
            </w:r>
          </w:p>
          <w:p w14:paraId="1104BCED"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Vanessa Pesec</w:t>
            </w:r>
          </w:p>
          <w:p w14:paraId="7DD09A33" w14:textId="77777777" w:rsidR="0094349C" w:rsidRDefault="0094349C" w:rsidP="00566EE1">
            <w:pPr>
              <w:spacing w:after="0" w:line="240" w:lineRule="auto"/>
              <w:rPr>
                <w:rFonts w:ascii="Calibri" w:eastAsia="Times New Roman" w:hAnsi="Calibri" w:cs="Calibri"/>
                <w:color w:val="000000"/>
                <w:kern w:val="0"/>
                <w14:ligatures w14:val="none"/>
              </w:rPr>
            </w:pPr>
          </w:p>
          <w:p w14:paraId="46B88905"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53E9BE22" w14:textId="77777777" w:rsidTr="00566EE1">
        <w:trPr>
          <w:trHeight w:val="287"/>
        </w:trPr>
        <w:tc>
          <w:tcPr>
            <w:tcW w:w="7676" w:type="dxa"/>
            <w:gridSpan w:val="2"/>
            <w:tcBorders>
              <w:top w:val="nil"/>
              <w:left w:val="nil"/>
              <w:bottom w:val="nil"/>
              <w:right w:val="nil"/>
            </w:tcBorders>
            <w:shd w:val="clear" w:color="auto" w:fill="auto"/>
            <w:noWrap/>
            <w:vAlign w:val="center"/>
            <w:hideMark/>
          </w:tcPr>
          <w:p w14:paraId="6C3A42B4"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Colu</w:t>
            </w:r>
            <w:r>
              <w:rPr>
                <w:rFonts w:ascii="Calibri" w:eastAsia="Times New Roman" w:hAnsi="Calibri" w:cs="Calibri"/>
                <w:color w:val="000000"/>
                <w:kern w:val="0"/>
                <w14:ligatures w14:val="none"/>
              </w:rPr>
              <w:t>m</w:t>
            </w:r>
            <w:r w:rsidRPr="003C7A49">
              <w:rPr>
                <w:rFonts w:ascii="Calibri" w:eastAsia="Times New Roman" w:hAnsi="Calibri" w:cs="Calibri"/>
                <w:color w:val="000000"/>
                <w:kern w:val="0"/>
                <w14:ligatures w14:val="none"/>
              </w:rPr>
              <w:t>bus Community Bill of Rights Coalition</w:t>
            </w:r>
          </w:p>
          <w:p w14:paraId="121DF026"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Bill Lyons</w:t>
            </w:r>
          </w:p>
          <w:p w14:paraId="2192A5EB" w14:textId="77777777" w:rsidR="0094349C" w:rsidRDefault="0094349C" w:rsidP="00566EE1">
            <w:pPr>
              <w:spacing w:after="0" w:line="240" w:lineRule="auto"/>
              <w:rPr>
                <w:rFonts w:ascii="Calibri" w:eastAsia="Times New Roman" w:hAnsi="Calibri" w:cs="Calibri"/>
                <w:color w:val="000000"/>
                <w:kern w:val="0"/>
                <w14:ligatures w14:val="none"/>
              </w:rPr>
            </w:pPr>
          </w:p>
          <w:p w14:paraId="11F3E01F"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r w:rsidR="0094349C" w:rsidRPr="003C7A49" w14:paraId="266F15CE" w14:textId="77777777" w:rsidTr="00566EE1">
        <w:trPr>
          <w:trHeight w:val="287"/>
        </w:trPr>
        <w:tc>
          <w:tcPr>
            <w:tcW w:w="7676" w:type="dxa"/>
            <w:gridSpan w:val="2"/>
            <w:tcBorders>
              <w:top w:val="nil"/>
              <w:left w:val="nil"/>
              <w:bottom w:val="nil"/>
              <w:right w:val="nil"/>
            </w:tcBorders>
            <w:shd w:val="clear" w:color="auto" w:fill="auto"/>
            <w:noWrap/>
            <w:vAlign w:val="center"/>
            <w:hideMark/>
          </w:tcPr>
          <w:p w14:paraId="492FF305"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Ohio Community Rights Network</w:t>
            </w:r>
          </w:p>
          <w:p w14:paraId="4F8AEA65" w14:textId="77777777" w:rsidR="0094349C" w:rsidRDefault="0094349C" w:rsidP="00566EE1">
            <w:pPr>
              <w:spacing w:after="0" w:line="240" w:lineRule="auto"/>
              <w:rPr>
                <w:rFonts w:ascii="Calibri" w:eastAsia="Times New Roman" w:hAnsi="Calibri" w:cs="Calibri"/>
                <w:color w:val="000000"/>
                <w:kern w:val="0"/>
                <w14:ligatures w14:val="none"/>
              </w:rPr>
            </w:pPr>
            <w:r w:rsidRPr="003C7A49">
              <w:rPr>
                <w:rFonts w:ascii="Calibri" w:eastAsia="Times New Roman" w:hAnsi="Calibri" w:cs="Calibri"/>
                <w:color w:val="000000"/>
                <w:kern w:val="0"/>
                <w14:ligatures w14:val="none"/>
              </w:rPr>
              <w:t xml:space="preserve">Susie Beiersdorfer </w:t>
            </w:r>
          </w:p>
          <w:p w14:paraId="1F4F0DE5" w14:textId="77777777" w:rsidR="0094349C" w:rsidRDefault="0094349C" w:rsidP="00566EE1">
            <w:pPr>
              <w:spacing w:after="0" w:line="240" w:lineRule="auto"/>
              <w:rPr>
                <w:rFonts w:ascii="Calibri" w:eastAsia="Times New Roman" w:hAnsi="Calibri" w:cs="Calibri"/>
                <w:color w:val="000000"/>
                <w:kern w:val="0"/>
                <w14:ligatures w14:val="none"/>
              </w:rPr>
            </w:pPr>
          </w:p>
          <w:p w14:paraId="279F543B" w14:textId="77777777" w:rsidR="0094349C" w:rsidRPr="003C7A49" w:rsidRDefault="0094349C" w:rsidP="00566EE1">
            <w:pPr>
              <w:spacing w:after="0" w:line="240" w:lineRule="auto"/>
              <w:rPr>
                <w:rFonts w:ascii="Calibri" w:eastAsia="Times New Roman" w:hAnsi="Calibri" w:cs="Calibri"/>
                <w:color w:val="000000"/>
                <w:kern w:val="0"/>
                <w14:ligatures w14:val="none"/>
              </w:rPr>
            </w:pPr>
          </w:p>
        </w:tc>
      </w:tr>
    </w:tbl>
    <w:p w14:paraId="56E499DD" w14:textId="77777777" w:rsidR="00930876" w:rsidRPr="004918CA" w:rsidRDefault="00930876" w:rsidP="00930876">
      <w:pPr>
        <w:spacing w:before="100" w:beforeAutospacing="1" w:after="100" w:afterAutospacing="1" w:line="240" w:lineRule="auto"/>
        <w:jc w:val="both"/>
        <w:rPr>
          <w:rFonts w:ascii="Times New Roman" w:hAnsi="Times New Roman" w:cs="Times New Roman"/>
          <w:sz w:val="24"/>
          <w:szCs w:val="24"/>
        </w:rPr>
      </w:pPr>
    </w:p>
    <w:p w14:paraId="7F9B1D07" w14:textId="77777777" w:rsidR="00930876" w:rsidRDefault="00930876"/>
    <w:sectPr w:rsidR="00930876" w:rsidSect="000A08AC">
      <w:pgSz w:w="12240" w:h="15840"/>
      <w:pgMar w:top="2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wszQyNTMwMTE3MjZU0lEKTi0uzszPAykwrAUAs/9gWywAAAA="/>
  </w:docVars>
  <w:rsids>
    <w:rsidRoot w:val="00930876"/>
    <w:rsid w:val="000A08AC"/>
    <w:rsid w:val="00672EEA"/>
    <w:rsid w:val="00930876"/>
    <w:rsid w:val="0094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AF6B"/>
  <w15:chartTrackingRefBased/>
  <w15:docId w15:val="{A5AC75FC-EABB-42C2-81C2-62E16F46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mills</dc:creator>
  <cp:keywords/>
  <dc:description/>
  <cp:lastModifiedBy>teresa mills</cp:lastModifiedBy>
  <cp:revision>1</cp:revision>
  <dcterms:created xsi:type="dcterms:W3CDTF">2023-09-10T22:50:00Z</dcterms:created>
  <dcterms:modified xsi:type="dcterms:W3CDTF">2023-09-11T01:52:00Z</dcterms:modified>
</cp:coreProperties>
</file>